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D0C6C" w14:paraId="3362A5F8" w14:textId="77777777">
        <w:tc>
          <w:tcPr>
            <w:tcW w:w="509" w:type="dxa"/>
          </w:tcPr>
          <w:p w14:paraId="601F530F" w14:textId="77777777" w:rsidR="00DD0C6C"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CC241CA" w14:textId="73443610" w:rsidR="00DD0C6C" w:rsidRDefault="00533E38">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13.220.10</w:t>
            </w:r>
          </w:p>
        </w:tc>
      </w:tr>
      <w:tr w:rsidR="00DD0C6C" w14:paraId="5B1872B6" w14:textId="77777777">
        <w:tc>
          <w:tcPr>
            <w:tcW w:w="509" w:type="dxa"/>
          </w:tcPr>
          <w:p w14:paraId="6A85EEC9" w14:textId="77777777" w:rsidR="00DD0C6C"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8B10BA5" w14:textId="3420FFA2" w:rsidR="00DD0C6C" w:rsidRDefault="00533E38">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C84</w:t>
            </w:r>
          </w:p>
        </w:tc>
      </w:tr>
    </w:tbl>
    <w:p w14:paraId="53F58BAE" w14:textId="1AFC4909" w:rsidR="00DD0C6C" w:rsidRPr="00533E38" w:rsidRDefault="00000000" w:rsidP="00533E38">
      <w:pPr>
        <w:pStyle w:val="afffff0"/>
        <w:framePr w:w="9639" w:h="995" w:hRule="exact" w:hSpace="181" w:vSpace="181" w:wrap="around" w:hAnchor="page" w:x="1268" w:y="2221"/>
        <w:rPr>
          <w:rFonts w:ascii="黑体" w:eastAsia="黑体" w:hAnsi="黑体" w:hint="eastAsia"/>
          <w:b w:val="0"/>
          <w:bCs w:val="0"/>
          <w:w w:val="100"/>
          <w:sz w:val="72"/>
          <w:szCs w:val="72"/>
        </w:rPr>
      </w:pPr>
      <w:bookmarkStart w:id="0" w:name="_Hlk26473981"/>
      <w:r w:rsidRPr="00533E38">
        <w:rPr>
          <w:rFonts w:ascii="黑体" w:eastAsia="黑体" w:hint="eastAsia"/>
          <w:b w:val="0"/>
          <w:w w:val="100"/>
          <w:sz w:val="72"/>
          <w:szCs w:val="72"/>
        </w:rPr>
        <w:t>团体</w:t>
      </w:r>
      <w:r w:rsidRPr="00533E38">
        <w:rPr>
          <w:rFonts w:ascii="黑体" w:eastAsia="黑体" w:hAnsi="黑体" w:hint="eastAsia"/>
          <w:b w:val="0"/>
          <w:bCs w:val="0"/>
          <w:w w:val="100"/>
          <w:sz w:val="72"/>
          <w:szCs w:val="72"/>
        </w:rPr>
        <w:t>标准</w:t>
      </w:r>
    </w:p>
    <w:bookmarkEnd w:id="0"/>
    <w:p w14:paraId="0DFC6AB4" w14:textId="79C987A6" w:rsidR="00DD0C6C" w:rsidRDefault="00533E38" w:rsidP="00533E38">
      <w:pPr>
        <w:pStyle w:val="affffffffff2"/>
        <w:framePr w:wrap="auto"/>
        <w:ind w:right="-988"/>
        <w:jc w:val="center"/>
      </w:pPr>
      <w:r>
        <w:rPr>
          <w:rFonts w:hint="eastAsia"/>
        </w:rPr>
        <w:t xml:space="preserve">                                         </w:t>
      </w:r>
      <w:r w:rsidR="00000000">
        <w:t>T/</w:t>
      </w:r>
      <w:r w:rsidRPr="00533E38">
        <w:rPr>
          <w:rFonts w:hint="eastAsia"/>
        </w:rPr>
        <w:t>CFPA</w:t>
      </w:r>
      <w:r>
        <w:rPr>
          <w:rFonts w:hint="eastAsia"/>
        </w:rPr>
        <w:t xml:space="preserve"> </w:t>
      </w:r>
      <w:r w:rsidR="00000000">
        <w:fldChar w:fldCharType="begin">
          <w:ffData>
            <w:name w:val="NSTD_CODE_F"/>
            <w:enabled/>
            <w:calcOnExit w:val="0"/>
            <w:textInput>
              <w:default w:val="XXXX"/>
            </w:textInput>
          </w:ffData>
        </w:fldChar>
      </w:r>
      <w:bookmarkStart w:id="1" w:name="NSTD_CODE_F"/>
      <w:r w:rsidR="00000000">
        <w:instrText xml:space="preserve"> FORMTEXT </w:instrText>
      </w:r>
      <w:r w:rsidR="00000000">
        <w:fldChar w:fldCharType="separate"/>
      </w:r>
      <w:r w:rsidR="00000000">
        <w:t>XXXX</w:t>
      </w:r>
      <w:r w:rsidR="00000000">
        <w:fldChar w:fldCharType="end"/>
      </w:r>
      <w:bookmarkEnd w:id="1"/>
      <w:r w:rsidR="00000000">
        <w:rPr>
          <w:rFonts w:hAnsi="黑体"/>
        </w:rPr>
        <w:t>—</w:t>
      </w:r>
      <w:r w:rsidR="00000000">
        <w:fldChar w:fldCharType="begin">
          <w:ffData>
            <w:name w:val="NSTD_CODE_B"/>
            <w:enabled/>
            <w:calcOnExit w:val="0"/>
            <w:textInput>
              <w:default w:val="XXXX"/>
            </w:textInput>
          </w:ffData>
        </w:fldChar>
      </w:r>
      <w:bookmarkStart w:id="2" w:name="NSTD_CODE_B"/>
      <w:r w:rsidR="00000000">
        <w:instrText xml:space="preserve"> FORMTEXT </w:instrText>
      </w:r>
      <w:r w:rsidR="00000000">
        <w:fldChar w:fldCharType="separate"/>
      </w:r>
      <w:r w:rsidR="00000000">
        <w:t>XXXX</w:t>
      </w:r>
      <w:r w:rsidR="00000000">
        <w:fldChar w:fldCharType="end"/>
      </w:r>
      <w:bookmarkEnd w:id="2"/>
    </w:p>
    <w:p w14:paraId="4A8A8A0C" w14:textId="77777777" w:rsidR="00DD0C6C"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FE2243E" wp14:editId="1195358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FDEDC34" w14:textId="77777777" w:rsidR="00DD0C6C" w:rsidRDefault="00DD0C6C">
      <w:pPr>
        <w:pStyle w:val="afffff0"/>
        <w:framePr w:w="9639" w:h="6976" w:hRule="exact" w:hSpace="0" w:vSpace="0" w:wrap="around" w:hAnchor="page" w:y="6408"/>
        <w:jc w:val="center"/>
        <w:rPr>
          <w:rFonts w:ascii="黑体" w:eastAsia="黑体" w:hAnsi="黑体" w:hint="eastAsia"/>
          <w:b w:val="0"/>
          <w:bCs w:val="0"/>
          <w:w w:val="100"/>
        </w:rPr>
      </w:pPr>
    </w:p>
    <w:p w14:paraId="63B29BAB" w14:textId="77777777" w:rsidR="00DD0C6C"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rPr>
          <w:rFonts w:hint="eastAsia"/>
        </w:rPr>
        <w:t>旋转自动喷水灭火装置</w:t>
      </w:r>
      <w:r>
        <w:fldChar w:fldCharType="end"/>
      </w:r>
      <w:bookmarkEnd w:id="3"/>
    </w:p>
    <w:p w14:paraId="560AD4B9" w14:textId="77777777" w:rsidR="00DD0C6C" w:rsidRDefault="00DD0C6C">
      <w:pPr>
        <w:framePr w:w="9639" w:h="6974" w:hRule="exact" w:wrap="around" w:vAnchor="page" w:hAnchor="page" w:x="1419" w:y="6408" w:anchorLock="1"/>
        <w:ind w:left="-1418"/>
      </w:pPr>
    </w:p>
    <w:p w14:paraId="788FA2BB" w14:textId="77777777" w:rsidR="00DD0C6C"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4" w:name="ESTD_NAME"/>
      <w:r>
        <w:rPr>
          <w:rFonts w:eastAsia="黑体"/>
          <w:szCs w:val="28"/>
        </w:rPr>
        <w:instrText xml:space="preserve"> FORMTEXT </w:instrText>
      </w:r>
      <w:r>
        <w:rPr>
          <w:rFonts w:eastAsia="黑体"/>
          <w:szCs w:val="28"/>
        </w:rPr>
      </w:r>
      <w:r>
        <w:rPr>
          <w:rFonts w:eastAsia="黑体"/>
          <w:szCs w:val="28"/>
        </w:rPr>
        <w:fldChar w:fldCharType="separate"/>
      </w:r>
      <w:bookmarkStart w:id="5" w:name="_Hlk185498170"/>
      <w:r>
        <w:rPr>
          <w:rFonts w:eastAsia="黑体" w:hint="eastAsia"/>
          <w:szCs w:val="28"/>
        </w:rPr>
        <w:t>Rotating automatic sprinkler fire extinguishing equipment</w:t>
      </w:r>
      <w:bookmarkEnd w:id="5"/>
      <w:r>
        <w:rPr>
          <w:rFonts w:eastAsia="黑体"/>
          <w:szCs w:val="28"/>
        </w:rPr>
        <w:fldChar w:fldCharType="end"/>
      </w:r>
      <w:bookmarkEnd w:id="4"/>
    </w:p>
    <w:p w14:paraId="3962E4DB" w14:textId="77777777" w:rsidR="00DD0C6C" w:rsidRDefault="00DD0C6C">
      <w:pPr>
        <w:framePr w:w="9639" w:h="6974" w:hRule="exact" w:wrap="around" w:vAnchor="page" w:hAnchor="page" w:x="1419" w:y="6408" w:anchorLock="1"/>
        <w:spacing w:line="760" w:lineRule="exact"/>
        <w:ind w:left="-1418"/>
      </w:pPr>
    </w:p>
    <w:p w14:paraId="21F28864" w14:textId="77777777" w:rsidR="00DD0C6C" w:rsidRDefault="00DD0C6C">
      <w:pPr>
        <w:pStyle w:val="afffffff8"/>
        <w:framePr w:w="9639" w:h="6974" w:hRule="exact" w:wrap="around" w:vAnchor="page" w:hAnchor="page" w:x="1419" w:y="6408" w:anchorLock="1"/>
        <w:textAlignment w:val="bottom"/>
        <w:rPr>
          <w:rFonts w:eastAsia="黑体"/>
          <w:szCs w:val="28"/>
        </w:rPr>
      </w:pPr>
    </w:p>
    <w:p w14:paraId="70672E34" w14:textId="77777777" w:rsidR="00DD0C6C"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6"/>
    </w:p>
    <w:p w14:paraId="33B82F1F" w14:textId="77777777" w:rsidR="00DD0C6C"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发布</w:t>
      </w:r>
    </w:p>
    <w:p w14:paraId="3BF49519" w14:textId="77777777" w:rsidR="00DD0C6C"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实施</w:t>
      </w:r>
    </w:p>
    <w:p w14:paraId="3108BBF2" w14:textId="77777777" w:rsidR="00DD0C6C"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中国消防协会</w:t>
      </w:r>
      <w:r>
        <w:rPr>
          <w:rFonts w:hAnsi="黑体"/>
          <w:w w:val="100"/>
          <w:sz w:val="28"/>
        </w:rPr>
        <w:fldChar w:fldCharType="end"/>
      </w:r>
      <w:bookmarkEnd w:id="13"/>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71F00EA" w14:textId="77777777" w:rsidR="00DD0C6C" w:rsidRDefault="00000000">
      <w:pPr>
        <w:rPr>
          <w:rFonts w:ascii="宋体" w:hAnsi="宋体" w:hint="eastAsia"/>
          <w:sz w:val="28"/>
          <w:szCs w:val="28"/>
        </w:rPr>
        <w:sectPr w:rsidR="00DD0C6C">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432DE60" wp14:editId="4E89BF0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B72EE38" w14:textId="77777777" w:rsidR="00DD0C6C" w:rsidRDefault="00000000">
      <w:pPr>
        <w:pStyle w:val="affffffa"/>
        <w:spacing w:after="360"/>
      </w:pPr>
      <w:bookmarkStart w:id="14" w:name="BookMark1"/>
      <w:bookmarkStart w:id="15" w:name="_Toc185859274"/>
      <w:bookmarkStart w:id="16" w:name="_Toc188367471"/>
      <w:r>
        <w:rPr>
          <w:rFonts w:hint="eastAsia"/>
          <w:spacing w:val="320"/>
        </w:rPr>
        <w:lastRenderedPageBreak/>
        <w:t>目</w:t>
      </w:r>
      <w:r>
        <w:rPr>
          <w:rFonts w:hint="eastAsia"/>
        </w:rPr>
        <w:t>次</w:t>
      </w:r>
    </w:p>
    <w:p w14:paraId="4329B2AF" w14:textId="77777777" w:rsidR="00DD0C6C"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191302734" w:history="1">
        <w:r w:rsidR="00DD0C6C">
          <w:rPr>
            <w:rStyle w:val="affffb"/>
            <w:rFonts w:hint="eastAsia"/>
          </w:rPr>
          <w:t>前言</w:t>
        </w:r>
        <w:r w:rsidR="00DD0C6C">
          <w:rPr>
            <w:rFonts w:hint="eastAsia"/>
          </w:rPr>
          <w:tab/>
        </w:r>
        <w:r w:rsidR="00DD0C6C">
          <w:rPr>
            <w:rFonts w:hint="eastAsia"/>
          </w:rPr>
          <w:fldChar w:fldCharType="begin"/>
        </w:r>
        <w:r w:rsidR="00DD0C6C">
          <w:rPr>
            <w:rFonts w:hint="eastAsia"/>
          </w:rPr>
          <w:instrText xml:space="preserve"> </w:instrText>
        </w:r>
        <w:r w:rsidR="00DD0C6C">
          <w:instrText>PAGEREF _Toc191302734 \h</w:instrText>
        </w:r>
        <w:r w:rsidR="00DD0C6C">
          <w:rPr>
            <w:rFonts w:hint="eastAsia"/>
          </w:rPr>
          <w:instrText xml:space="preserve"> </w:instrText>
        </w:r>
        <w:r w:rsidR="00DD0C6C">
          <w:rPr>
            <w:rFonts w:hint="eastAsia"/>
          </w:rPr>
        </w:r>
        <w:r w:rsidR="00DD0C6C">
          <w:rPr>
            <w:rFonts w:hint="eastAsia"/>
          </w:rPr>
          <w:fldChar w:fldCharType="separate"/>
        </w:r>
        <w:r w:rsidR="00DD0C6C">
          <w:t>II</w:t>
        </w:r>
        <w:r w:rsidR="00DD0C6C">
          <w:rPr>
            <w:rFonts w:hint="eastAsia"/>
          </w:rPr>
          <w:fldChar w:fldCharType="end"/>
        </w:r>
      </w:hyperlink>
    </w:p>
    <w:p w14:paraId="31B8C355" w14:textId="77777777" w:rsidR="00DD0C6C" w:rsidRDefault="00DD0C6C">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1302735"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_Toc191302735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82A72F7" w14:textId="77777777" w:rsidR="00DD0C6C" w:rsidRDefault="00DD0C6C">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1302736"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_Toc191302736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F893477" w14:textId="77777777" w:rsidR="00DD0C6C" w:rsidRDefault="00DD0C6C">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1302737"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_Toc191302737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DAE7EB1" w14:textId="77777777" w:rsidR="00DD0C6C" w:rsidRDefault="00DD0C6C">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1302738" w:history="1">
        <w:r>
          <w:rPr>
            <w:rStyle w:val="affffb"/>
            <w:rFonts w:hint="eastAsia"/>
          </w:rPr>
          <w:t>4</w:t>
        </w:r>
        <w:r>
          <w:rPr>
            <w:rStyle w:val="affffb"/>
          </w:rPr>
          <w:t xml:space="preserve"> </w:t>
        </w:r>
        <w:r>
          <w:rPr>
            <w:rStyle w:val="affffb"/>
            <w:rFonts w:hint="eastAsia"/>
          </w:rPr>
          <w:t xml:space="preserve"> 产品构成及工作原理</w:t>
        </w:r>
        <w:r>
          <w:rPr>
            <w:rFonts w:hint="eastAsia"/>
          </w:rPr>
          <w:tab/>
        </w:r>
        <w:r>
          <w:rPr>
            <w:rFonts w:hint="eastAsia"/>
          </w:rPr>
          <w:fldChar w:fldCharType="begin"/>
        </w:r>
        <w:r>
          <w:rPr>
            <w:rFonts w:hint="eastAsia"/>
          </w:rPr>
          <w:instrText xml:space="preserve"> </w:instrText>
        </w:r>
        <w:r>
          <w:instrText>PAGEREF _Toc191302738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A3F0E63" w14:textId="77777777" w:rsidR="00DD0C6C" w:rsidRDefault="00DD0C6C">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1302739" w:history="1">
        <w:r>
          <w:rPr>
            <w:rStyle w:val="affffb"/>
            <w:rFonts w:hint="eastAsia"/>
          </w:rPr>
          <w:t>5</w:t>
        </w:r>
        <w:r>
          <w:rPr>
            <w:rStyle w:val="affffb"/>
          </w:rPr>
          <w:t xml:space="preserve"> </w:t>
        </w:r>
        <w:r>
          <w:rPr>
            <w:rStyle w:val="affffb"/>
            <w:rFonts w:hint="eastAsia"/>
          </w:rPr>
          <w:t xml:space="preserve"> 型号的表示方法</w:t>
        </w:r>
        <w:r>
          <w:rPr>
            <w:rFonts w:hint="eastAsia"/>
          </w:rPr>
          <w:tab/>
        </w:r>
        <w:r>
          <w:rPr>
            <w:rFonts w:hint="eastAsia"/>
          </w:rPr>
          <w:fldChar w:fldCharType="begin"/>
        </w:r>
        <w:r>
          <w:rPr>
            <w:rFonts w:hint="eastAsia"/>
          </w:rPr>
          <w:instrText xml:space="preserve"> </w:instrText>
        </w:r>
        <w:r>
          <w:instrText>PAGEREF _Toc191302739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1017CDC0" w14:textId="77777777" w:rsidR="00DD0C6C" w:rsidRDefault="00DD0C6C">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1302740" w:history="1">
        <w:r>
          <w:rPr>
            <w:rStyle w:val="affffb"/>
            <w:rFonts w:hint="eastAsia"/>
          </w:rPr>
          <w:t>6</w:t>
        </w:r>
        <w:r>
          <w:rPr>
            <w:rStyle w:val="affffb"/>
          </w:rPr>
          <w:t xml:space="preserve"> </w:t>
        </w:r>
        <w:r>
          <w:rPr>
            <w:rStyle w:val="affffb"/>
            <w:rFonts w:hint="eastAsia"/>
          </w:rPr>
          <w:t xml:space="preserve"> 型式和基本参数</w:t>
        </w:r>
        <w:r>
          <w:rPr>
            <w:rFonts w:hint="eastAsia"/>
          </w:rPr>
          <w:tab/>
        </w:r>
        <w:r>
          <w:rPr>
            <w:rFonts w:hint="eastAsia"/>
          </w:rPr>
          <w:fldChar w:fldCharType="begin"/>
        </w:r>
        <w:r>
          <w:rPr>
            <w:rFonts w:hint="eastAsia"/>
          </w:rPr>
          <w:instrText xml:space="preserve"> </w:instrText>
        </w:r>
        <w:r>
          <w:instrText>PAGEREF _Toc191302740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7C3CF3CC" w14:textId="77777777" w:rsidR="00DD0C6C" w:rsidRDefault="00DD0C6C">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1302741" w:history="1">
        <w:r>
          <w:rPr>
            <w:rStyle w:val="affffb"/>
            <w:rFonts w:hint="eastAsia"/>
          </w:rPr>
          <w:t>7</w:t>
        </w:r>
        <w:r>
          <w:rPr>
            <w:rStyle w:val="affffb"/>
          </w:rPr>
          <w:t xml:space="preserve"> </w:t>
        </w:r>
        <w:r>
          <w:rPr>
            <w:rStyle w:val="affffb"/>
            <w:rFonts w:hint="eastAsia"/>
          </w:rPr>
          <w:t xml:space="preserve"> 技术要求</w:t>
        </w:r>
        <w:r>
          <w:rPr>
            <w:rFonts w:hint="eastAsia"/>
          </w:rPr>
          <w:tab/>
        </w:r>
        <w:r>
          <w:rPr>
            <w:rFonts w:hint="eastAsia"/>
          </w:rPr>
          <w:fldChar w:fldCharType="begin"/>
        </w:r>
        <w:r>
          <w:rPr>
            <w:rFonts w:hint="eastAsia"/>
          </w:rPr>
          <w:instrText xml:space="preserve"> </w:instrText>
        </w:r>
        <w:r>
          <w:instrText>PAGEREF _Toc191302741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4961CA07" w14:textId="77777777" w:rsidR="00DD0C6C" w:rsidRDefault="00DD0C6C">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1302742" w:history="1">
        <w:r>
          <w:rPr>
            <w:rStyle w:val="affffb"/>
            <w:rFonts w:hint="eastAsia"/>
          </w:rPr>
          <w:t>8</w:t>
        </w:r>
        <w:r>
          <w:rPr>
            <w:rStyle w:val="affffb"/>
          </w:rPr>
          <w:t xml:space="preserve"> </w:t>
        </w:r>
        <w:r>
          <w:rPr>
            <w:rStyle w:val="affffb"/>
            <w:rFonts w:hint="eastAsia"/>
          </w:rPr>
          <w:t xml:space="preserve"> 试验方法</w:t>
        </w:r>
        <w:r>
          <w:rPr>
            <w:rFonts w:hint="eastAsia"/>
          </w:rPr>
          <w:tab/>
        </w:r>
        <w:r>
          <w:rPr>
            <w:rFonts w:hint="eastAsia"/>
          </w:rPr>
          <w:fldChar w:fldCharType="begin"/>
        </w:r>
        <w:r>
          <w:rPr>
            <w:rFonts w:hint="eastAsia"/>
          </w:rPr>
          <w:instrText xml:space="preserve"> </w:instrText>
        </w:r>
        <w:r>
          <w:instrText>PAGEREF _Toc191302742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7903E31" w14:textId="77777777" w:rsidR="00DD0C6C" w:rsidRDefault="00DD0C6C">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1302743" w:history="1">
        <w:r>
          <w:rPr>
            <w:rStyle w:val="affffb"/>
            <w:rFonts w:hint="eastAsia"/>
          </w:rPr>
          <w:t>9</w:t>
        </w:r>
        <w:r>
          <w:rPr>
            <w:rStyle w:val="affffb"/>
          </w:rPr>
          <w:t xml:space="preserve"> </w:t>
        </w:r>
        <w:r>
          <w:rPr>
            <w:rStyle w:val="affffb"/>
            <w:rFonts w:hint="eastAsia"/>
          </w:rPr>
          <w:t xml:space="preserve"> 检验规则</w:t>
        </w:r>
        <w:r>
          <w:rPr>
            <w:rFonts w:hint="eastAsia"/>
          </w:rPr>
          <w:tab/>
        </w:r>
        <w:r>
          <w:rPr>
            <w:rFonts w:hint="eastAsia"/>
          </w:rPr>
          <w:fldChar w:fldCharType="begin"/>
        </w:r>
        <w:r>
          <w:rPr>
            <w:rFonts w:hint="eastAsia"/>
          </w:rPr>
          <w:instrText xml:space="preserve"> </w:instrText>
        </w:r>
        <w:r>
          <w:instrText>PAGEREF _Toc191302743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03AEBADE" w14:textId="77777777" w:rsidR="00DD0C6C" w:rsidRDefault="00DD0C6C">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1302744" w:history="1">
        <w:r>
          <w:rPr>
            <w:rStyle w:val="affffb"/>
            <w:rFonts w:hint="eastAsia"/>
          </w:rPr>
          <w:t>10</w:t>
        </w:r>
        <w:r>
          <w:rPr>
            <w:rStyle w:val="affffb"/>
          </w:rPr>
          <w:t xml:space="preserve"> </w:t>
        </w:r>
        <w:r>
          <w:rPr>
            <w:rStyle w:val="affffb"/>
            <w:rFonts w:hint="eastAsia"/>
          </w:rPr>
          <w:t xml:space="preserve"> 标志、包装、运输及贮存</w:t>
        </w:r>
        <w:r>
          <w:rPr>
            <w:rFonts w:hint="eastAsia"/>
          </w:rPr>
          <w:tab/>
        </w:r>
        <w:r>
          <w:rPr>
            <w:rFonts w:hint="eastAsia"/>
          </w:rPr>
          <w:fldChar w:fldCharType="begin"/>
        </w:r>
        <w:r>
          <w:rPr>
            <w:rFonts w:hint="eastAsia"/>
          </w:rPr>
          <w:instrText xml:space="preserve"> </w:instrText>
        </w:r>
        <w:r>
          <w:instrText>PAGEREF _Toc191302744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61437AB0" w14:textId="77777777" w:rsidR="00DD0C6C" w:rsidRDefault="00000000">
      <w:pPr>
        <w:pStyle w:val="affffffa"/>
        <w:spacing w:after="360"/>
        <w:sectPr w:rsidR="00DD0C6C">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74C699EF" w14:textId="77777777" w:rsidR="00DD0C6C" w:rsidRDefault="00000000">
      <w:pPr>
        <w:pStyle w:val="a6"/>
        <w:spacing w:before="900" w:after="360"/>
      </w:pPr>
      <w:bookmarkStart w:id="17" w:name="_Toc191302734"/>
      <w:bookmarkStart w:id="18" w:name="BookMark2"/>
      <w:bookmarkEnd w:id="14"/>
      <w:r>
        <w:rPr>
          <w:rFonts w:hint="eastAsia"/>
          <w:spacing w:val="320"/>
        </w:rPr>
        <w:lastRenderedPageBreak/>
        <w:t>前</w:t>
      </w:r>
      <w:r>
        <w:rPr>
          <w:rFonts w:hint="eastAsia"/>
        </w:rPr>
        <w:t>言</w:t>
      </w:r>
      <w:bookmarkEnd w:id="15"/>
      <w:bookmarkEnd w:id="16"/>
      <w:bookmarkEnd w:id="17"/>
    </w:p>
    <w:p w14:paraId="020C6A87" w14:textId="77777777" w:rsidR="00DD0C6C" w:rsidRDefault="00000000">
      <w:pPr>
        <w:pStyle w:val="afffff5"/>
        <w:ind w:firstLine="420"/>
      </w:pPr>
      <w:r>
        <w:rPr>
          <w:rFonts w:hint="eastAsia"/>
        </w:rPr>
        <w:t>本文件按照GB/T 1.1—2020《标准化工作导则  第1部分：标准化文件的结构和起草规则》的规定起草。</w:t>
      </w:r>
    </w:p>
    <w:p w14:paraId="315F6488" w14:textId="77777777" w:rsidR="00DD0C6C" w:rsidRDefault="00000000">
      <w:pPr>
        <w:pStyle w:val="afffff5"/>
        <w:ind w:firstLine="420"/>
      </w:pPr>
      <w:r>
        <w:rPr>
          <w:rFonts w:hint="eastAsia"/>
        </w:rPr>
        <w:t>请注意本文件的某些内容可能涉及专利。本文件的发布机构不承担识别专利的责任。</w:t>
      </w:r>
    </w:p>
    <w:p w14:paraId="33A084AF" w14:textId="77777777" w:rsidR="00DD0C6C" w:rsidRDefault="00000000">
      <w:pPr>
        <w:pStyle w:val="afffff5"/>
        <w:ind w:firstLine="420"/>
      </w:pPr>
      <w:r>
        <w:rPr>
          <w:rFonts w:hint="eastAsia"/>
        </w:rPr>
        <w:t>本文件由克里斯科技（珠海）有限公司提出。</w:t>
      </w:r>
    </w:p>
    <w:p w14:paraId="300EFECC" w14:textId="77777777" w:rsidR="00DD0C6C" w:rsidRDefault="00000000">
      <w:pPr>
        <w:pStyle w:val="afffff5"/>
        <w:ind w:firstLine="420"/>
      </w:pPr>
      <w:r>
        <w:rPr>
          <w:rFonts w:hint="eastAsia"/>
        </w:rPr>
        <w:t>本文件由中国消防协会归口。</w:t>
      </w:r>
    </w:p>
    <w:p w14:paraId="4A51AE0D" w14:textId="77777777" w:rsidR="00DD0C6C" w:rsidRDefault="00000000">
      <w:pPr>
        <w:pStyle w:val="afffff5"/>
        <w:ind w:firstLine="420"/>
      </w:pPr>
      <w:r>
        <w:rPr>
          <w:rFonts w:hint="eastAsia"/>
        </w:rPr>
        <w:t>本文件起草单位：克里斯科技（珠海）有限公司、中国消防救援学院、珠海市消防救援支队、东莞市极光石机电设备有限公司、北京蓝鲸标准化技术研究有限公司。</w:t>
      </w:r>
    </w:p>
    <w:p w14:paraId="3A8F0FAD" w14:textId="77777777" w:rsidR="00DD0C6C" w:rsidRDefault="00000000">
      <w:pPr>
        <w:pStyle w:val="afffff5"/>
        <w:ind w:firstLine="420"/>
      </w:pPr>
      <w:r>
        <w:rPr>
          <w:rFonts w:hint="eastAsia"/>
        </w:rPr>
        <w:t>本文件主要起草人：刘克业、颜日明、詹剑飞、王浩宇、戚景远、程潞样、赵亮、沈刚。</w:t>
      </w:r>
    </w:p>
    <w:p w14:paraId="1D59295B" w14:textId="77777777" w:rsidR="00DD0C6C" w:rsidRDefault="00DD0C6C">
      <w:pPr>
        <w:pStyle w:val="afffff5"/>
        <w:ind w:firstLineChars="95" w:firstLine="199"/>
        <w:sectPr w:rsidR="00DD0C6C">
          <w:pgSz w:w="11906" w:h="16838"/>
          <w:pgMar w:top="1928" w:right="1134" w:bottom="1134" w:left="1134" w:header="1418" w:footer="1134" w:gutter="284"/>
          <w:pgNumType w:fmt="upperRoman"/>
          <w:cols w:space="425"/>
          <w:formProt w:val="0"/>
          <w:docGrid w:linePitch="312"/>
        </w:sectPr>
      </w:pPr>
    </w:p>
    <w:p w14:paraId="009442CE" w14:textId="77777777" w:rsidR="00DD0C6C" w:rsidRDefault="00DD0C6C">
      <w:pPr>
        <w:spacing w:line="20" w:lineRule="exact"/>
        <w:jc w:val="center"/>
        <w:rPr>
          <w:rFonts w:ascii="黑体" w:eastAsia="黑体" w:hAnsi="黑体" w:hint="eastAsia"/>
          <w:sz w:val="32"/>
          <w:szCs w:val="32"/>
        </w:rPr>
      </w:pPr>
      <w:bookmarkStart w:id="19" w:name="BookMark4"/>
      <w:bookmarkEnd w:id="18"/>
    </w:p>
    <w:p w14:paraId="52D39BE5" w14:textId="77777777" w:rsidR="00DD0C6C" w:rsidRDefault="00DD0C6C">
      <w:pPr>
        <w:spacing w:line="20" w:lineRule="exact"/>
        <w:jc w:val="center"/>
        <w:rPr>
          <w:rFonts w:ascii="黑体" w:eastAsia="黑体" w:hAnsi="黑体" w:hint="eastAsia"/>
          <w:sz w:val="32"/>
          <w:szCs w:val="32"/>
        </w:rPr>
      </w:pPr>
    </w:p>
    <w:bookmarkStart w:id="20" w:name="NEW_STAND_NAME" w:displacedByCustomXml="next"/>
    <w:sdt>
      <w:sdtPr>
        <w:tag w:val="NEW_STAND_NAME"/>
        <w:id w:val="595910757"/>
        <w:lock w:val="sdtLocked"/>
        <w:placeholder>
          <w:docPart w:val="88F8957E4755458CA6044EE5756B9635"/>
        </w:placeholder>
      </w:sdtPr>
      <w:sdtContent>
        <w:p w14:paraId="1B108FD7" w14:textId="77777777" w:rsidR="00DD0C6C" w:rsidRDefault="00000000">
          <w:pPr>
            <w:pStyle w:val="afffffffff8"/>
            <w:spacing w:beforeLines="1" w:before="2" w:afterLines="220" w:after="528"/>
            <w:rPr>
              <w:rFonts w:hint="eastAsia"/>
            </w:rPr>
          </w:pPr>
          <w:r>
            <w:rPr>
              <w:rFonts w:hint="eastAsia"/>
            </w:rPr>
            <w:t>旋转自动喷水灭火装置</w:t>
          </w:r>
        </w:p>
      </w:sdtContent>
    </w:sdt>
    <w:p w14:paraId="656ADC68" w14:textId="77777777" w:rsidR="00DD0C6C" w:rsidRDefault="00000000">
      <w:pPr>
        <w:pStyle w:val="affc"/>
        <w:spacing w:before="240" w:after="240"/>
      </w:pPr>
      <w:bookmarkStart w:id="21" w:name="_Toc26648465"/>
      <w:bookmarkStart w:id="22" w:name="_Toc26718930"/>
      <w:bookmarkStart w:id="23" w:name="_Toc97192964"/>
      <w:bookmarkStart w:id="24" w:name="_Toc26986530"/>
      <w:bookmarkStart w:id="25" w:name="_Toc185859275"/>
      <w:bookmarkStart w:id="26" w:name="_Toc188367472"/>
      <w:bookmarkStart w:id="27" w:name="_Toc17233325"/>
      <w:bookmarkStart w:id="28" w:name="_Toc17233333"/>
      <w:bookmarkStart w:id="29" w:name="_Toc24884218"/>
      <w:bookmarkStart w:id="30" w:name="_Toc26986771"/>
      <w:bookmarkStart w:id="31" w:name="_Toc24884211"/>
      <w:bookmarkStart w:id="32" w:name="_Toc191302735"/>
      <w:bookmarkEnd w:id="20"/>
      <w:r>
        <w:rPr>
          <w:rFonts w:hint="eastAsia"/>
        </w:rPr>
        <w:t>范围</w:t>
      </w:r>
      <w:bookmarkEnd w:id="21"/>
      <w:bookmarkEnd w:id="22"/>
      <w:bookmarkEnd w:id="23"/>
      <w:bookmarkEnd w:id="24"/>
      <w:bookmarkEnd w:id="25"/>
      <w:bookmarkEnd w:id="26"/>
      <w:bookmarkEnd w:id="27"/>
      <w:bookmarkEnd w:id="28"/>
      <w:bookmarkEnd w:id="29"/>
      <w:bookmarkEnd w:id="30"/>
      <w:bookmarkEnd w:id="31"/>
      <w:bookmarkEnd w:id="32"/>
    </w:p>
    <w:p w14:paraId="4F966F8D" w14:textId="77777777" w:rsidR="00DD0C6C" w:rsidRDefault="00000000">
      <w:pPr>
        <w:pStyle w:val="afffff5"/>
        <w:ind w:firstLine="420"/>
      </w:pPr>
      <w:bookmarkStart w:id="33" w:name="_Toc24884219"/>
      <w:bookmarkStart w:id="34" w:name="_Toc26648466"/>
      <w:bookmarkStart w:id="35" w:name="_Toc17233326"/>
      <w:bookmarkStart w:id="36" w:name="_Toc17233334"/>
      <w:bookmarkStart w:id="37" w:name="_Toc24884212"/>
      <w:r>
        <w:rPr>
          <w:rFonts w:hint="eastAsia"/>
        </w:rPr>
        <w:t>本文件规定了旋转自动喷水灭火装置（以下简称灭火装置）的术语和定义、产品构成及工作原理、型号的表示方法、型式和基本参数、技术要求、试验方法、检验规则、标志、包装、运输和贮存。</w:t>
      </w:r>
    </w:p>
    <w:p w14:paraId="59425208" w14:textId="77777777" w:rsidR="00DD0C6C" w:rsidRDefault="00000000">
      <w:pPr>
        <w:pStyle w:val="afffff5"/>
        <w:ind w:firstLine="420"/>
      </w:pPr>
      <w:r>
        <w:rPr>
          <w:rFonts w:hint="eastAsia"/>
        </w:rPr>
        <w:t>本文件适用于旋转自动喷水灭火装置的产品设计、制造和检验。</w:t>
      </w:r>
    </w:p>
    <w:p w14:paraId="6051E6A1" w14:textId="77777777" w:rsidR="00DD0C6C" w:rsidRDefault="00000000">
      <w:pPr>
        <w:pStyle w:val="affc"/>
        <w:spacing w:before="240" w:after="240"/>
      </w:pPr>
      <w:bookmarkStart w:id="38" w:name="_Toc188367473"/>
      <w:bookmarkStart w:id="39" w:name="_Toc97192965"/>
      <w:bookmarkStart w:id="40" w:name="_Toc26986772"/>
      <w:bookmarkStart w:id="41" w:name="_Toc185859276"/>
      <w:bookmarkStart w:id="42" w:name="_Toc26718931"/>
      <w:bookmarkStart w:id="43" w:name="_Toc191302736"/>
      <w:bookmarkStart w:id="44" w:name="_Toc26986531"/>
      <w:r>
        <w:rPr>
          <w:rFonts w:hint="eastAsia"/>
        </w:rPr>
        <w:t>规范性引用文件</w:t>
      </w:r>
      <w:bookmarkEnd w:id="33"/>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DE578C7FD5CE4318914D59BF1C7AAF7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10993A4" w14:textId="77777777" w:rsidR="00DD0C6C"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71DCA9" w14:textId="77777777" w:rsidR="00DD0C6C" w:rsidRDefault="00000000">
      <w:pPr>
        <w:pStyle w:val="afffff5"/>
        <w:ind w:firstLine="420"/>
      </w:pPr>
      <w:r>
        <w:rPr>
          <w:rFonts w:hint="eastAsia"/>
        </w:rPr>
        <w:t>GB 4351-2023 手提式灭火器</w:t>
      </w:r>
    </w:p>
    <w:p w14:paraId="562B1051" w14:textId="77777777" w:rsidR="00DD0C6C" w:rsidRDefault="00000000">
      <w:pPr>
        <w:pStyle w:val="afffff5"/>
        <w:ind w:firstLine="420"/>
      </w:pPr>
      <w:r>
        <w:rPr>
          <w:rFonts w:hint="eastAsia"/>
        </w:rPr>
        <w:t>GB 5135.1-2019 自动喷水灭火系统  第1部分：洒水喷头</w:t>
      </w:r>
    </w:p>
    <w:p w14:paraId="4D1DD3DC" w14:textId="77777777" w:rsidR="00DD0C6C" w:rsidRDefault="00000000">
      <w:pPr>
        <w:pStyle w:val="afffff5"/>
        <w:ind w:firstLine="420"/>
      </w:pPr>
      <w:r>
        <w:t>GB/T 25205</w:t>
      </w:r>
      <w:r>
        <w:rPr>
          <w:rFonts w:hint="eastAsia"/>
        </w:rPr>
        <w:t>-2010 雨淋喷头</w:t>
      </w:r>
    </w:p>
    <w:p w14:paraId="0C556FFF" w14:textId="77777777" w:rsidR="00DD0C6C" w:rsidRDefault="00000000">
      <w:pPr>
        <w:pStyle w:val="afffff5"/>
        <w:ind w:firstLine="420"/>
      </w:pPr>
      <w:r>
        <w:t>GN 11-</w:t>
      </w:r>
      <w:r>
        <w:rPr>
          <w:rFonts w:hint="eastAsia"/>
        </w:rPr>
        <w:t>19</w:t>
      </w:r>
      <w:r>
        <w:t>82</w:t>
      </w:r>
      <w:r>
        <w:rPr>
          <w:rFonts w:hint="eastAsia"/>
        </w:rPr>
        <w:t xml:space="preserve"> 消防产品型号编制方法</w:t>
      </w:r>
    </w:p>
    <w:p w14:paraId="44B651A5" w14:textId="77777777" w:rsidR="00DD0C6C" w:rsidRDefault="00000000">
      <w:pPr>
        <w:pStyle w:val="affc"/>
        <w:spacing w:before="240" w:after="240"/>
      </w:pPr>
      <w:bookmarkStart w:id="45" w:name="_Toc97192966"/>
      <w:bookmarkStart w:id="46" w:name="_Toc188367474"/>
      <w:bookmarkStart w:id="47" w:name="_Toc191302737"/>
      <w:bookmarkStart w:id="48" w:name="_Toc185859277"/>
      <w:r>
        <w:rPr>
          <w:rFonts w:hint="eastAsia"/>
          <w:szCs w:val="21"/>
        </w:rPr>
        <w:t>术语和定义</w:t>
      </w:r>
      <w:bookmarkEnd w:id="45"/>
      <w:bookmarkEnd w:id="46"/>
      <w:bookmarkEnd w:id="47"/>
      <w:bookmarkEnd w:id="48"/>
    </w:p>
    <w:bookmarkStart w:id="49" w:name="_Toc26986532" w:displacedByCustomXml="next"/>
    <w:bookmarkEnd w:id="49" w:displacedByCustomXml="next"/>
    <w:sdt>
      <w:sdtPr>
        <w:id w:val="-1909835108"/>
        <w:placeholder>
          <w:docPart w:val="EEFBDBE933444D098940485EE7544E5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166EFC6" w14:textId="77777777" w:rsidR="00DD0C6C" w:rsidRDefault="00000000">
          <w:pPr>
            <w:pStyle w:val="afffff5"/>
            <w:ind w:firstLine="420"/>
          </w:pPr>
          <w:r>
            <w:t>下列术语和定义适用于本文件。</w:t>
          </w:r>
        </w:p>
      </w:sdtContent>
    </w:sdt>
    <w:p w14:paraId="050947B0" w14:textId="77777777" w:rsidR="00DD0C6C" w:rsidRDefault="00DD0C6C">
      <w:pPr>
        <w:pStyle w:val="affffffffe"/>
      </w:pPr>
    </w:p>
    <w:p w14:paraId="500FECB9" w14:textId="77777777" w:rsidR="00DD0C6C" w:rsidRDefault="00000000">
      <w:pPr>
        <w:pStyle w:val="afffff5"/>
        <w:ind w:firstLine="422"/>
        <w:rPr>
          <w:b/>
          <w:bCs/>
        </w:rPr>
      </w:pPr>
      <w:r>
        <w:rPr>
          <w:rFonts w:hint="eastAsia"/>
          <w:b/>
          <w:bCs/>
        </w:rPr>
        <w:t>旋转自动喷水灭火装置 r</w:t>
      </w:r>
      <w:r>
        <w:rPr>
          <w:b/>
          <w:bCs/>
        </w:rPr>
        <w:t>otating automatic sprinkler fire extinguishing equipment</w:t>
      </w:r>
    </w:p>
    <w:p w14:paraId="0DF9617B" w14:textId="77777777" w:rsidR="00DD0C6C" w:rsidRDefault="00000000">
      <w:pPr>
        <w:pStyle w:val="afffff5"/>
        <w:ind w:firstLine="420"/>
      </w:pPr>
      <w:r>
        <w:rPr>
          <w:rFonts w:hint="eastAsia"/>
        </w:rPr>
        <w:t>当火灾发生时热敏感元件能动作、水封活塞在重力或水压作用下下落并通过水压驱动而使旋转喷头进行全方位喷水的灭火装置。</w:t>
      </w:r>
    </w:p>
    <w:p w14:paraId="331D7138" w14:textId="77777777" w:rsidR="00DD0C6C" w:rsidRDefault="00DD0C6C">
      <w:pPr>
        <w:pStyle w:val="affffffffe"/>
      </w:pPr>
    </w:p>
    <w:p w14:paraId="0B8D3A67" w14:textId="77777777" w:rsidR="00DD0C6C" w:rsidRDefault="00000000">
      <w:pPr>
        <w:pStyle w:val="afffff5"/>
        <w:ind w:firstLine="422"/>
        <w:rPr>
          <w:b/>
          <w:bCs/>
        </w:rPr>
      </w:pPr>
      <w:r>
        <w:rPr>
          <w:rFonts w:hint="eastAsia"/>
          <w:b/>
          <w:bCs/>
        </w:rPr>
        <w:t>旋转喷头 rotating sprinkler</w:t>
      </w:r>
    </w:p>
    <w:p w14:paraId="440638B7" w14:textId="77777777" w:rsidR="00DD0C6C" w:rsidRDefault="00000000">
      <w:pPr>
        <w:pStyle w:val="afffff5"/>
        <w:ind w:firstLine="420"/>
      </w:pPr>
      <w:r>
        <w:rPr>
          <w:rFonts w:hint="eastAsia"/>
        </w:rPr>
        <w:t>利用水力学环流推动和空气动力学原理，旋转分布大水滴能形成下压强风的旋转灭火喷头。</w:t>
      </w:r>
    </w:p>
    <w:p w14:paraId="3DBAA045" w14:textId="77777777" w:rsidR="00DD0C6C" w:rsidRDefault="00DD0C6C">
      <w:pPr>
        <w:pStyle w:val="affffffffe"/>
      </w:pPr>
    </w:p>
    <w:p w14:paraId="3BA33E19" w14:textId="77777777" w:rsidR="00DD0C6C" w:rsidRDefault="00000000">
      <w:pPr>
        <w:pStyle w:val="afffff5"/>
        <w:ind w:firstLine="422"/>
        <w:rPr>
          <w:b/>
          <w:bCs/>
        </w:rPr>
      </w:pPr>
      <w:r>
        <w:rPr>
          <w:rFonts w:hint="eastAsia"/>
          <w:b/>
          <w:bCs/>
        </w:rPr>
        <w:t>水封活塞 sealing pistons</w:t>
      </w:r>
    </w:p>
    <w:p w14:paraId="0092266B" w14:textId="77777777" w:rsidR="00DD0C6C" w:rsidRDefault="00000000">
      <w:pPr>
        <w:pStyle w:val="afffff5"/>
        <w:ind w:firstLine="420"/>
      </w:pPr>
      <w:r>
        <w:rPr>
          <w:rFonts w:hint="eastAsia"/>
        </w:rPr>
        <w:t>在热敏感元件不动作时能密封喷头进水口，当热敏感元件动作时能自动落下打开喷头进水口的组件。</w:t>
      </w:r>
    </w:p>
    <w:p w14:paraId="01D8887A" w14:textId="77777777" w:rsidR="00DD0C6C" w:rsidRDefault="00000000">
      <w:pPr>
        <w:pStyle w:val="affc"/>
        <w:spacing w:before="240" w:after="240"/>
      </w:pPr>
      <w:bookmarkStart w:id="50" w:name="_Toc188367475"/>
      <w:bookmarkStart w:id="51" w:name="_Toc191302738"/>
      <w:bookmarkStart w:id="52" w:name="_Toc185859278"/>
      <w:r>
        <w:rPr>
          <w:rFonts w:hint="eastAsia"/>
        </w:rPr>
        <w:t>产品构成及工作原理</w:t>
      </w:r>
      <w:bookmarkEnd w:id="50"/>
      <w:bookmarkEnd w:id="51"/>
    </w:p>
    <w:p w14:paraId="6AF86D3C" w14:textId="77777777" w:rsidR="00DD0C6C" w:rsidRDefault="00000000">
      <w:pPr>
        <w:pStyle w:val="affffffffe"/>
      </w:pPr>
      <w:r>
        <w:rPr>
          <w:rFonts w:hint="eastAsia"/>
        </w:rPr>
        <w:t>灭火装置由旋转喷头、进水管、水封活塞、热敏感元件等组成。</w:t>
      </w:r>
    </w:p>
    <w:p w14:paraId="578395FC" w14:textId="77777777" w:rsidR="00DD0C6C" w:rsidRDefault="00000000">
      <w:pPr>
        <w:pStyle w:val="affffffffe"/>
      </w:pPr>
      <w:r>
        <w:rPr>
          <w:rFonts w:hint="eastAsia"/>
        </w:rPr>
        <w:t>闭式灭火装置的工作原理是当火灾发生时，热敏感元件达到设定温度自行动作、水封活塞在重力或水压作用下下落，通过水压驱动喷头高速旋转喷洒灭火操作。</w:t>
      </w:r>
    </w:p>
    <w:p w14:paraId="6E1DC786" w14:textId="77777777" w:rsidR="00DD0C6C" w:rsidRDefault="00000000">
      <w:pPr>
        <w:pStyle w:val="affffffffe"/>
        <w:numPr>
          <w:ilvl w:val="2"/>
          <w:numId w:val="0"/>
        </w:numPr>
      </w:pPr>
      <w:r>
        <w:rPr>
          <w:rFonts w:hint="eastAsia"/>
        </w:rPr>
        <w:t xml:space="preserve">    开式灭火装置的工作原理是当火灾发生时，通过水压驱动喷头高速旋转喷洒灭火操作。</w:t>
      </w:r>
    </w:p>
    <w:p w14:paraId="077C5DDD" w14:textId="77777777" w:rsidR="00DD0C6C" w:rsidRDefault="00000000">
      <w:pPr>
        <w:pStyle w:val="affffffffe"/>
      </w:pPr>
      <w:r>
        <w:rPr>
          <w:rFonts w:hint="eastAsia"/>
        </w:rPr>
        <w:t>灭火装置示意图如图1和图2所示。</w:t>
      </w:r>
    </w:p>
    <w:p w14:paraId="49299644" w14:textId="77777777" w:rsidR="00DD0C6C" w:rsidRDefault="00000000">
      <w:pPr>
        <w:pStyle w:val="affffffffe"/>
        <w:numPr>
          <w:ilvl w:val="0"/>
          <w:numId w:val="0"/>
        </w:numPr>
        <w:jc w:val="center"/>
      </w:pPr>
      <w:r>
        <w:rPr>
          <w:noProof/>
        </w:rPr>
        <w:lastRenderedPageBreak/>
        <w:drawing>
          <wp:inline distT="0" distB="0" distL="0" distR="0" wp14:anchorId="157315B7" wp14:editId="7B14C599">
            <wp:extent cx="4549140" cy="3191510"/>
            <wp:effectExtent l="0" t="0" r="7620" b="8890"/>
            <wp:docPr id="2015353049" name="图片 3"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53049" name="图片 3" descr="图示, 工程绘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49140" cy="3191510"/>
                    </a:xfrm>
                    <a:prstGeom prst="rect">
                      <a:avLst/>
                    </a:prstGeom>
                    <a:noFill/>
                    <a:ln>
                      <a:noFill/>
                    </a:ln>
                  </pic:spPr>
                </pic:pic>
              </a:graphicData>
            </a:graphic>
          </wp:inline>
        </w:drawing>
      </w:r>
    </w:p>
    <w:p w14:paraId="5B768445" w14:textId="77777777" w:rsidR="00DD0C6C" w:rsidRDefault="00000000">
      <w:pPr>
        <w:pStyle w:val="affffffffe"/>
        <w:numPr>
          <w:ilvl w:val="0"/>
          <w:numId w:val="0"/>
        </w:numPr>
        <w:rPr>
          <w:sz w:val="18"/>
          <w:szCs w:val="18"/>
        </w:rPr>
      </w:pPr>
      <w:r>
        <w:rPr>
          <w:rFonts w:hint="eastAsia"/>
          <w:sz w:val="18"/>
          <w:szCs w:val="18"/>
        </w:rPr>
        <w:t>标引序号说明：</w:t>
      </w:r>
    </w:p>
    <w:p w14:paraId="6CBD3589" w14:textId="77777777" w:rsidR="00DD0C6C" w:rsidRDefault="00000000">
      <w:pPr>
        <w:pStyle w:val="affffffffe"/>
        <w:numPr>
          <w:ilvl w:val="0"/>
          <w:numId w:val="0"/>
        </w:numPr>
        <w:rPr>
          <w:sz w:val="18"/>
          <w:szCs w:val="18"/>
        </w:rPr>
      </w:pPr>
      <w:r>
        <w:rPr>
          <w:rFonts w:hint="eastAsia"/>
          <w:sz w:val="18"/>
          <w:szCs w:val="18"/>
        </w:rPr>
        <w:t>1——调节螺丝；</w:t>
      </w:r>
    </w:p>
    <w:p w14:paraId="31BBCD3E" w14:textId="77777777" w:rsidR="00DD0C6C" w:rsidRDefault="00000000">
      <w:pPr>
        <w:pStyle w:val="affffffffe"/>
        <w:numPr>
          <w:ilvl w:val="0"/>
          <w:numId w:val="0"/>
        </w:numPr>
        <w:rPr>
          <w:sz w:val="18"/>
          <w:szCs w:val="18"/>
        </w:rPr>
      </w:pPr>
      <w:r>
        <w:rPr>
          <w:rFonts w:hint="eastAsia"/>
          <w:sz w:val="18"/>
          <w:szCs w:val="18"/>
        </w:rPr>
        <w:t>2——轭臂；</w:t>
      </w:r>
    </w:p>
    <w:p w14:paraId="0CBDA2C3" w14:textId="77777777" w:rsidR="00DD0C6C" w:rsidRDefault="00000000">
      <w:pPr>
        <w:pStyle w:val="affffffffe"/>
        <w:numPr>
          <w:ilvl w:val="0"/>
          <w:numId w:val="0"/>
        </w:numPr>
        <w:rPr>
          <w:sz w:val="18"/>
          <w:szCs w:val="18"/>
        </w:rPr>
      </w:pPr>
      <w:r>
        <w:rPr>
          <w:rFonts w:hint="eastAsia"/>
          <w:sz w:val="18"/>
          <w:szCs w:val="18"/>
        </w:rPr>
        <w:t>3——热敏感元件；</w:t>
      </w:r>
    </w:p>
    <w:p w14:paraId="6219C125" w14:textId="77777777" w:rsidR="00DD0C6C" w:rsidRDefault="00000000">
      <w:pPr>
        <w:pStyle w:val="affffffffe"/>
        <w:numPr>
          <w:ilvl w:val="0"/>
          <w:numId w:val="0"/>
        </w:numPr>
        <w:rPr>
          <w:sz w:val="18"/>
          <w:szCs w:val="18"/>
        </w:rPr>
      </w:pPr>
      <w:r>
        <w:rPr>
          <w:rFonts w:hint="eastAsia"/>
          <w:sz w:val="18"/>
          <w:szCs w:val="18"/>
        </w:rPr>
        <w:t>4——前盖；</w:t>
      </w:r>
    </w:p>
    <w:p w14:paraId="11138C06" w14:textId="77777777" w:rsidR="00DD0C6C" w:rsidRDefault="00000000">
      <w:pPr>
        <w:pStyle w:val="affffffffe"/>
        <w:numPr>
          <w:ilvl w:val="0"/>
          <w:numId w:val="0"/>
        </w:numPr>
        <w:rPr>
          <w:sz w:val="18"/>
          <w:szCs w:val="18"/>
        </w:rPr>
      </w:pPr>
      <w:r>
        <w:rPr>
          <w:rFonts w:hint="eastAsia"/>
          <w:sz w:val="18"/>
          <w:szCs w:val="18"/>
        </w:rPr>
        <w:t>5——后盖；</w:t>
      </w:r>
    </w:p>
    <w:p w14:paraId="35EF8504" w14:textId="77777777" w:rsidR="00DD0C6C" w:rsidRDefault="00000000">
      <w:pPr>
        <w:pStyle w:val="affffffffe"/>
        <w:numPr>
          <w:ilvl w:val="0"/>
          <w:numId w:val="0"/>
        </w:numPr>
        <w:rPr>
          <w:sz w:val="18"/>
          <w:szCs w:val="18"/>
        </w:rPr>
      </w:pPr>
      <w:r>
        <w:rPr>
          <w:rFonts w:hint="eastAsia"/>
          <w:sz w:val="18"/>
          <w:szCs w:val="18"/>
        </w:rPr>
        <w:t>6——胶圈；</w:t>
      </w:r>
    </w:p>
    <w:p w14:paraId="40CEC531" w14:textId="77777777" w:rsidR="00DD0C6C" w:rsidRDefault="00000000">
      <w:pPr>
        <w:pStyle w:val="affffffffe"/>
        <w:numPr>
          <w:ilvl w:val="0"/>
          <w:numId w:val="0"/>
        </w:numPr>
        <w:rPr>
          <w:sz w:val="18"/>
          <w:szCs w:val="18"/>
        </w:rPr>
      </w:pPr>
      <w:r>
        <w:rPr>
          <w:rFonts w:hint="eastAsia"/>
          <w:sz w:val="18"/>
          <w:szCs w:val="18"/>
        </w:rPr>
        <w:t>7——滚珠；</w:t>
      </w:r>
    </w:p>
    <w:p w14:paraId="576FC15D" w14:textId="77777777" w:rsidR="00DD0C6C" w:rsidRDefault="00000000">
      <w:pPr>
        <w:pStyle w:val="affffffffe"/>
        <w:numPr>
          <w:ilvl w:val="0"/>
          <w:numId w:val="0"/>
        </w:numPr>
        <w:rPr>
          <w:sz w:val="18"/>
          <w:szCs w:val="18"/>
        </w:rPr>
      </w:pPr>
      <w:r>
        <w:rPr>
          <w:rFonts w:hint="eastAsia"/>
          <w:sz w:val="18"/>
          <w:szCs w:val="18"/>
        </w:rPr>
        <w:t>8——分流器；</w:t>
      </w:r>
    </w:p>
    <w:p w14:paraId="755A0172" w14:textId="77777777" w:rsidR="00DD0C6C" w:rsidRDefault="00000000">
      <w:pPr>
        <w:pStyle w:val="affffffffe"/>
        <w:numPr>
          <w:ilvl w:val="0"/>
          <w:numId w:val="0"/>
        </w:numPr>
        <w:rPr>
          <w:sz w:val="18"/>
          <w:szCs w:val="18"/>
        </w:rPr>
      </w:pPr>
      <w:r>
        <w:rPr>
          <w:rFonts w:hint="eastAsia"/>
          <w:sz w:val="18"/>
          <w:szCs w:val="18"/>
        </w:rPr>
        <w:t>9——进水管；</w:t>
      </w:r>
    </w:p>
    <w:p w14:paraId="18F66B80" w14:textId="77777777" w:rsidR="00DD0C6C" w:rsidRDefault="00000000">
      <w:pPr>
        <w:pStyle w:val="affffffffe"/>
        <w:numPr>
          <w:ilvl w:val="0"/>
          <w:numId w:val="0"/>
        </w:numPr>
        <w:rPr>
          <w:sz w:val="18"/>
          <w:szCs w:val="18"/>
        </w:rPr>
      </w:pPr>
      <w:r>
        <w:rPr>
          <w:rFonts w:hint="eastAsia"/>
          <w:sz w:val="18"/>
          <w:szCs w:val="18"/>
        </w:rPr>
        <w:t>10——卡簧；</w:t>
      </w:r>
    </w:p>
    <w:p w14:paraId="4086D55B" w14:textId="77777777" w:rsidR="00DD0C6C" w:rsidRDefault="00000000">
      <w:pPr>
        <w:pStyle w:val="affffffffe"/>
        <w:numPr>
          <w:ilvl w:val="0"/>
          <w:numId w:val="0"/>
        </w:numPr>
        <w:rPr>
          <w:sz w:val="18"/>
          <w:szCs w:val="18"/>
        </w:rPr>
      </w:pPr>
      <w:r>
        <w:rPr>
          <w:rFonts w:hint="eastAsia"/>
          <w:sz w:val="18"/>
          <w:szCs w:val="18"/>
        </w:rPr>
        <w:t>11——螺丝。</w:t>
      </w:r>
    </w:p>
    <w:p w14:paraId="0FB3E552" w14:textId="77777777" w:rsidR="00DD0C6C" w:rsidRDefault="00000000">
      <w:pPr>
        <w:pStyle w:val="afd"/>
        <w:spacing w:before="120" w:after="120"/>
      </w:pPr>
      <w:r>
        <w:rPr>
          <w:rFonts w:hint="eastAsia"/>
        </w:rPr>
        <w:t>闭式旋转型灭火装置</w:t>
      </w:r>
    </w:p>
    <w:p w14:paraId="0371256D" w14:textId="77777777" w:rsidR="00DD0C6C" w:rsidRDefault="00000000">
      <w:pPr>
        <w:pStyle w:val="afffff5"/>
        <w:ind w:firstLine="420"/>
        <w:jc w:val="center"/>
      </w:pPr>
      <w:r>
        <w:rPr>
          <w:noProof/>
        </w:rPr>
        <w:drawing>
          <wp:inline distT="0" distB="0" distL="0" distR="0" wp14:anchorId="66ED80A8" wp14:editId="406D9375">
            <wp:extent cx="4545330" cy="3146425"/>
            <wp:effectExtent l="0" t="0" r="11430" b="8255"/>
            <wp:docPr id="354233185" name="图片 4"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33185" name="图片 4" descr="图示, 工程绘图&#10;&#10;描述已自动生成"/>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545330" cy="3146425"/>
                    </a:xfrm>
                    <a:prstGeom prst="rect">
                      <a:avLst/>
                    </a:prstGeom>
                    <a:noFill/>
                    <a:ln>
                      <a:noFill/>
                    </a:ln>
                  </pic:spPr>
                </pic:pic>
              </a:graphicData>
            </a:graphic>
          </wp:inline>
        </w:drawing>
      </w:r>
    </w:p>
    <w:p w14:paraId="26B587A3" w14:textId="77777777" w:rsidR="00DD0C6C" w:rsidRDefault="00000000">
      <w:pPr>
        <w:pStyle w:val="afffff5"/>
        <w:ind w:firstLine="360"/>
        <w:rPr>
          <w:sz w:val="18"/>
          <w:szCs w:val="18"/>
        </w:rPr>
      </w:pPr>
      <w:r>
        <w:rPr>
          <w:rFonts w:hint="eastAsia"/>
          <w:sz w:val="18"/>
          <w:szCs w:val="18"/>
        </w:rPr>
        <w:lastRenderedPageBreak/>
        <w:t>标引序号说明：</w:t>
      </w:r>
    </w:p>
    <w:p w14:paraId="1D21452B" w14:textId="77777777" w:rsidR="00DD0C6C" w:rsidRDefault="00000000">
      <w:pPr>
        <w:pStyle w:val="afffff5"/>
        <w:ind w:firstLine="360"/>
        <w:rPr>
          <w:sz w:val="18"/>
          <w:szCs w:val="18"/>
        </w:rPr>
      </w:pPr>
      <w:r>
        <w:rPr>
          <w:rFonts w:hint="eastAsia"/>
          <w:sz w:val="18"/>
          <w:szCs w:val="18"/>
        </w:rPr>
        <w:t>1——调节螺丝；</w:t>
      </w:r>
    </w:p>
    <w:p w14:paraId="20674B01" w14:textId="77777777" w:rsidR="00DD0C6C" w:rsidRDefault="00000000">
      <w:pPr>
        <w:pStyle w:val="afffff5"/>
        <w:ind w:firstLine="360"/>
        <w:rPr>
          <w:sz w:val="18"/>
          <w:szCs w:val="18"/>
        </w:rPr>
      </w:pPr>
      <w:r>
        <w:rPr>
          <w:rFonts w:hint="eastAsia"/>
          <w:sz w:val="18"/>
          <w:szCs w:val="18"/>
        </w:rPr>
        <w:t>2——轭臂；</w:t>
      </w:r>
    </w:p>
    <w:p w14:paraId="35B52AAC" w14:textId="77777777" w:rsidR="00DD0C6C" w:rsidRDefault="00000000">
      <w:pPr>
        <w:pStyle w:val="afffff5"/>
        <w:ind w:firstLine="360"/>
        <w:rPr>
          <w:sz w:val="18"/>
          <w:szCs w:val="18"/>
        </w:rPr>
      </w:pPr>
      <w:r>
        <w:rPr>
          <w:rFonts w:hint="eastAsia"/>
          <w:sz w:val="18"/>
          <w:szCs w:val="18"/>
        </w:rPr>
        <w:t>3——前盖；</w:t>
      </w:r>
    </w:p>
    <w:p w14:paraId="0232E300" w14:textId="77777777" w:rsidR="00DD0C6C" w:rsidRDefault="00000000">
      <w:pPr>
        <w:pStyle w:val="afffff5"/>
        <w:ind w:firstLine="360"/>
        <w:rPr>
          <w:sz w:val="18"/>
          <w:szCs w:val="18"/>
        </w:rPr>
      </w:pPr>
      <w:r>
        <w:rPr>
          <w:rFonts w:hint="eastAsia"/>
          <w:sz w:val="18"/>
          <w:szCs w:val="18"/>
        </w:rPr>
        <w:t>4——后盖；</w:t>
      </w:r>
    </w:p>
    <w:p w14:paraId="753B3AA8" w14:textId="77777777" w:rsidR="00DD0C6C" w:rsidRDefault="00000000">
      <w:pPr>
        <w:pStyle w:val="afffff5"/>
        <w:ind w:firstLine="360"/>
        <w:rPr>
          <w:sz w:val="18"/>
          <w:szCs w:val="18"/>
        </w:rPr>
      </w:pPr>
      <w:r>
        <w:rPr>
          <w:rFonts w:hint="eastAsia"/>
          <w:sz w:val="18"/>
          <w:szCs w:val="18"/>
        </w:rPr>
        <w:t>5——滚珠；</w:t>
      </w:r>
    </w:p>
    <w:p w14:paraId="7C46400F" w14:textId="77777777" w:rsidR="00DD0C6C" w:rsidRDefault="00000000">
      <w:pPr>
        <w:pStyle w:val="afffff5"/>
        <w:ind w:firstLine="360"/>
        <w:rPr>
          <w:sz w:val="18"/>
          <w:szCs w:val="18"/>
        </w:rPr>
      </w:pPr>
      <w:r>
        <w:rPr>
          <w:rFonts w:hint="eastAsia"/>
          <w:sz w:val="18"/>
          <w:szCs w:val="18"/>
        </w:rPr>
        <w:t>6——分流器；</w:t>
      </w:r>
    </w:p>
    <w:p w14:paraId="2E146820" w14:textId="77777777" w:rsidR="00DD0C6C" w:rsidRDefault="00000000">
      <w:pPr>
        <w:pStyle w:val="afffff5"/>
        <w:ind w:firstLine="360"/>
        <w:rPr>
          <w:sz w:val="18"/>
          <w:szCs w:val="18"/>
        </w:rPr>
      </w:pPr>
      <w:r>
        <w:rPr>
          <w:rFonts w:hint="eastAsia"/>
          <w:sz w:val="18"/>
          <w:szCs w:val="18"/>
        </w:rPr>
        <w:t>7——进水管；</w:t>
      </w:r>
    </w:p>
    <w:p w14:paraId="5FEB6405" w14:textId="77777777" w:rsidR="00DD0C6C" w:rsidRDefault="00000000">
      <w:pPr>
        <w:pStyle w:val="afffff5"/>
        <w:ind w:firstLine="360"/>
        <w:rPr>
          <w:sz w:val="18"/>
          <w:szCs w:val="18"/>
        </w:rPr>
      </w:pPr>
      <w:r>
        <w:rPr>
          <w:rFonts w:hint="eastAsia"/>
          <w:sz w:val="18"/>
          <w:szCs w:val="18"/>
        </w:rPr>
        <w:t>8——卡簧；</w:t>
      </w:r>
    </w:p>
    <w:p w14:paraId="64691032" w14:textId="77777777" w:rsidR="00DD0C6C" w:rsidRDefault="00000000">
      <w:pPr>
        <w:pStyle w:val="afffff5"/>
        <w:ind w:firstLine="360"/>
        <w:rPr>
          <w:sz w:val="18"/>
          <w:szCs w:val="18"/>
        </w:rPr>
      </w:pPr>
      <w:r>
        <w:rPr>
          <w:rFonts w:hint="eastAsia"/>
          <w:sz w:val="18"/>
          <w:szCs w:val="18"/>
        </w:rPr>
        <w:t>9——螺丝。</w:t>
      </w:r>
    </w:p>
    <w:p w14:paraId="2D9F3C16" w14:textId="77777777" w:rsidR="00DD0C6C" w:rsidRDefault="00000000">
      <w:pPr>
        <w:pStyle w:val="afd"/>
        <w:spacing w:before="120" w:after="120"/>
      </w:pPr>
      <w:r>
        <w:rPr>
          <w:rFonts w:hint="eastAsia"/>
        </w:rPr>
        <w:t>开式旋转型灭火装置</w:t>
      </w:r>
    </w:p>
    <w:p w14:paraId="50D0DD60" w14:textId="77777777" w:rsidR="00DD0C6C" w:rsidRDefault="00000000">
      <w:pPr>
        <w:pStyle w:val="affc"/>
        <w:spacing w:before="240" w:after="240"/>
      </w:pPr>
      <w:bookmarkStart w:id="53" w:name="_Toc191302739"/>
      <w:bookmarkStart w:id="54" w:name="_Toc188367476"/>
      <w:r>
        <w:rPr>
          <w:rFonts w:hint="eastAsia"/>
        </w:rPr>
        <w:t>型号的表示方法</w:t>
      </w:r>
      <w:bookmarkEnd w:id="53"/>
    </w:p>
    <w:p w14:paraId="77C98D5B" w14:textId="77777777" w:rsidR="00DD0C6C" w:rsidRDefault="00000000">
      <w:pPr>
        <w:pStyle w:val="afffff5"/>
        <w:ind w:firstLine="420"/>
      </w:pPr>
      <w:r>
        <w:rPr>
          <w:rFonts w:hint="eastAsia"/>
        </w:rPr>
        <w:t>灭火装置的型号应按</w:t>
      </w:r>
      <w:r>
        <w:t>GN</w:t>
      </w:r>
      <w:r>
        <w:rPr>
          <w:rFonts w:hint="eastAsia"/>
        </w:rPr>
        <w:t xml:space="preserve"> </w:t>
      </w:r>
      <w:r>
        <w:t>11-82</w:t>
      </w:r>
      <w:r>
        <w:rPr>
          <w:rFonts w:hint="eastAsia"/>
        </w:rPr>
        <w:t>的规定编制，其形式如图3所示：</w:t>
      </w:r>
    </w:p>
    <w:p w14:paraId="0A40C1F7" w14:textId="77777777" w:rsidR="00DD0C6C" w:rsidRDefault="00000000">
      <w:pPr>
        <w:pStyle w:val="afffff5"/>
        <w:ind w:firstLine="420"/>
      </w:pPr>
      <w:r>
        <w:rPr>
          <w:noProof/>
        </w:rPr>
        <w:drawing>
          <wp:inline distT="0" distB="0" distL="0" distR="0" wp14:anchorId="46BED4F5" wp14:editId="21FC9299">
            <wp:extent cx="2637790" cy="1371600"/>
            <wp:effectExtent l="0" t="0" r="0" b="0"/>
            <wp:docPr id="1004422244"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22244" name="图片 6" descr="图示&#10;&#10;描述已自动生成"/>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637790" cy="1371600"/>
                    </a:xfrm>
                    <a:prstGeom prst="rect">
                      <a:avLst/>
                    </a:prstGeom>
                    <a:noFill/>
                    <a:ln>
                      <a:noFill/>
                    </a:ln>
                  </pic:spPr>
                </pic:pic>
              </a:graphicData>
            </a:graphic>
          </wp:inline>
        </w:drawing>
      </w:r>
    </w:p>
    <w:p w14:paraId="715DD567" w14:textId="77777777" w:rsidR="00DD0C6C" w:rsidRDefault="00000000">
      <w:pPr>
        <w:pStyle w:val="afd"/>
        <w:spacing w:before="120" w:after="120"/>
      </w:pPr>
      <w:r>
        <w:rPr>
          <w:rFonts w:hint="eastAsia"/>
        </w:rPr>
        <w:t>灭火装置型号</w:t>
      </w:r>
    </w:p>
    <w:p w14:paraId="37D0C4DB" w14:textId="77777777" w:rsidR="00DD0C6C" w:rsidRDefault="00000000">
      <w:pPr>
        <w:pStyle w:val="affc"/>
        <w:spacing w:before="240" w:after="240"/>
      </w:pPr>
      <w:bookmarkStart w:id="55" w:name="_Toc191302740"/>
      <w:r>
        <w:rPr>
          <w:rFonts w:hint="eastAsia"/>
        </w:rPr>
        <w:t>型式和基本参数</w:t>
      </w:r>
      <w:bookmarkEnd w:id="52"/>
      <w:bookmarkEnd w:id="54"/>
      <w:bookmarkEnd w:id="55"/>
    </w:p>
    <w:p w14:paraId="5F1CE9E3" w14:textId="77777777" w:rsidR="00DD0C6C" w:rsidRDefault="00000000">
      <w:pPr>
        <w:pStyle w:val="affd"/>
        <w:spacing w:before="120" w:after="120"/>
      </w:pPr>
      <w:r>
        <w:rPr>
          <w:rFonts w:hint="eastAsia"/>
        </w:rPr>
        <w:t>型式</w:t>
      </w:r>
    </w:p>
    <w:p w14:paraId="73458B9E" w14:textId="77777777" w:rsidR="00DD0C6C" w:rsidRDefault="00000000">
      <w:pPr>
        <w:pStyle w:val="afffff5"/>
        <w:ind w:firstLine="420"/>
      </w:pPr>
      <w:r>
        <w:rPr>
          <w:rFonts w:hint="eastAsia"/>
        </w:rPr>
        <w:t>灭火装置按照型式的不同可分为闭式旋转型（见图1）和开式旋转型（见图2）两种。</w:t>
      </w:r>
    </w:p>
    <w:p w14:paraId="4E0A2AA7" w14:textId="77777777" w:rsidR="00DD0C6C" w:rsidRDefault="00000000">
      <w:pPr>
        <w:pStyle w:val="affd"/>
        <w:spacing w:before="120" w:after="120"/>
      </w:pPr>
      <w:r>
        <w:rPr>
          <w:rFonts w:hint="eastAsia"/>
        </w:rPr>
        <w:t>基本参数</w:t>
      </w:r>
    </w:p>
    <w:p w14:paraId="7713250D" w14:textId="77777777" w:rsidR="00DD0C6C" w:rsidRDefault="00000000">
      <w:pPr>
        <w:pStyle w:val="afffffffff1"/>
      </w:pPr>
      <w:r>
        <w:rPr>
          <w:rFonts w:hint="eastAsia"/>
        </w:rPr>
        <w:t>灭火装置的使用环境温度应为-10℃</w:t>
      </w:r>
      <w:r>
        <w:rPr>
          <w:rFonts w:hAnsi="宋体" w:hint="eastAsia"/>
        </w:rPr>
        <w:t>～</w:t>
      </w:r>
      <w:r>
        <w:rPr>
          <w:rFonts w:hint="eastAsia"/>
        </w:rPr>
        <w:t>+55℃。</w:t>
      </w:r>
    </w:p>
    <w:p w14:paraId="34816281" w14:textId="77777777" w:rsidR="00DD0C6C" w:rsidRDefault="00000000">
      <w:pPr>
        <w:pStyle w:val="afffffffff1"/>
      </w:pPr>
      <w:r>
        <w:rPr>
          <w:rFonts w:hint="eastAsia"/>
        </w:rPr>
        <w:t>灭火装置的流量系数K应符合GB/T 25205</w:t>
      </w:r>
      <w:r>
        <w:tab/>
      </w:r>
      <w:r>
        <w:rPr>
          <w:rFonts w:hint="eastAsia"/>
        </w:rPr>
        <w:t>-2010中6.2.1的规定。</w:t>
      </w:r>
    </w:p>
    <w:p w14:paraId="62ACAF3A" w14:textId="77777777" w:rsidR="00DD0C6C" w:rsidRDefault="00000000">
      <w:pPr>
        <w:pStyle w:val="afffffffff1"/>
      </w:pPr>
      <w:r>
        <w:rPr>
          <w:rFonts w:hint="eastAsia"/>
        </w:rPr>
        <w:t>灭火装置的主要技术参数应符合表1 的规定。</w:t>
      </w:r>
    </w:p>
    <w:p w14:paraId="15CB1F09" w14:textId="77777777" w:rsidR="00DD0C6C" w:rsidRDefault="00000000">
      <w:pPr>
        <w:pStyle w:val="aff2"/>
        <w:spacing w:before="120" w:after="120"/>
      </w:pPr>
      <w:r>
        <w:rPr>
          <w:rFonts w:hint="eastAsia"/>
        </w:rPr>
        <w:t>灭火装置主要技术参数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23"/>
        <w:gridCol w:w="936"/>
        <w:gridCol w:w="949"/>
        <w:gridCol w:w="936"/>
        <w:gridCol w:w="949"/>
        <w:gridCol w:w="936"/>
        <w:gridCol w:w="949"/>
        <w:gridCol w:w="1824"/>
      </w:tblGrid>
      <w:tr w:rsidR="00DD0C6C" w14:paraId="7D3FAA5D" w14:textId="77777777">
        <w:trPr>
          <w:jc w:val="center"/>
        </w:trPr>
        <w:tc>
          <w:tcPr>
            <w:tcW w:w="942" w:type="dxa"/>
            <w:vMerge w:val="restart"/>
            <w:tcBorders>
              <w:top w:val="single" w:sz="4" w:space="0" w:color="auto"/>
              <w:left w:val="single" w:sz="4" w:space="0" w:color="auto"/>
              <w:bottom w:val="single" w:sz="4" w:space="0" w:color="auto"/>
              <w:right w:val="single" w:sz="4" w:space="0" w:color="auto"/>
            </w:tcBorders>
            <w:vAlign w:val="center"/>
          </w:tcPr>
          <w:p w14:paraId="2C726361" w14:textId="77777777" w:rsidR="00DD0C6C" w:rsidRDefault="00000000">
            <w:pPr>
              <w:pStyle w:val="afffff5"/>
              <w:ind w:firstLineChars="0" w:firstLine="0"/>
              <w:jc w:val="center"/>
              <w:rPr>
                <w:rFonts w:hAnsi="宋体" w:hint="eastAsia"/>
                <w:sz w:val="18"/>
                <w:szCs w:val="18"/>
              </w:rPr>
            </w:pPr>
            <w:r>
              <w:rPr>
                <w:rFonts w:hAnsi="宋体" w:hint="eastAsia"/>
                <w:sz w:val="18"/>
                <w:szCs w:val="18"/>
              </w:rPr>
              <w:t>DN（mm）</w:t>
            </w:r>
          </w:p>
        </w:tc>
        <w:tc>
          <w:tcPr>
            <w:tcW w:w="923" w:type="dxa"/>
            <w:vMerge w:val="restart"/>
            <w:tcBorders>
              <w:top w:val="single" w:sz="4" w:space="0" w:color="auto"/>
              <w:left w:val="single" w:sz="4" w:space="0" w:color="auto"/>
              <w:bottom w:val="single" w:sz="4" w:space="0" w:color="auto"/>
              <w:right w:val="single" w:sz="4" w:space="0" w:color="auto"/>
            </w:tcBorders>
            <w:vAlign w:val="center"/>
          </w:tcPr>
          <w:p w14:paraId="3B5B422D" w14:textId="77777777" w:rsidR="00DD0C6C" w:rsidRDefault="00000000">
            <w:pPr>
              <w:pStyle w:val="afffff5"/>
              <w:ind w:firstLineChars="0" w:firstLine="0"/>
              <w:jc w:val="center"/>
              <w:rPr>
                <w:rFonts w:hAnsi="宋体" w:hint="eastAsia"/>
                <w:sz w:val="18"/>
                <w:szCs w:val="18"/>
              </w:rPr>
            </w:pPr>
            <w:r>
              <w:rPr>
                <w:rFonts w:hAnsi="宋体" w:hint="eastAsia"/>
                <w:sz w:val="18"/>
                <w:szCs w:val="18"/>
              </w:rPr>
              <w:t>K</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37068C31" w14:textId="77777777" w:rsidR="00DD0C6C" w:rsidRDefault="00000000">
            <w:pPr>
              <w:pStyle w:val="afffff5"/>
              <w:ind w:firstLine="360"/>
              <w:jc w:val="center"/>
              <w:rPr>
                <w:rFonts w:hAnsi="宋体" w:hint="eastAsia"/>
                <w:sz w:val="18"/>
                <w:szCs w:val="18"/>
              </w:rPr>
            </w:pPr>
            <w:r>
              <w:rPr>
                <w:rFonts w:hAnsi="宋体" w:hint="eastAsia"/>
                <w:sz w:val="18"/>
                <w:szCs w:val="18"/>
              </w:rPr>
              <w:t>P=0.1（MPa）</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113D1775" w14:textId="77777777" w:rsidR="00DD0C6C" w:rsidRDefault="00000000">
            <w:pPr>
              <w:pStyle w:val="afffff5"/>
              <w:ind w:firstLine="360"/>
              <w:jc w:val="center"/>
              <w:rPr>
                <w:rFonts w:hAnsi="宋体" w:hint="eastAsia"/>
                <w:sz w:val="18"/>
                <w:szCs w:val="18"/>
              </w:rPr>
            </w:pPr>
            <w:r>
              <w:rPr>
                <w:rFonts w:hAnsi="宋体" w:hint="eastAsia"/>
                <w:sz w:val="18"/>
                <w:szCs w:val="18"/>
              </w:rPr>
              <w:t>P=0.25（MPa）</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6FB9AD4E" w14:textId="77777777" w:rsidR="00DD0C6C" w:rsidRDefault="00000000">
            <w:pPr>
              <w:pStyle w:val="afffff5"/>
              <w:ind w:firstLine="360"/>
              <w:jc w:val="center"/>
              <w:rPr>
                <w:rFonts w:hAnsi="宋体" w:hint="eastAsia"/>
                <w:sz w:val="18"/>
                <w:szCs w:val="18"/>
              </w:rPr>
            </w:pPr>
            <w:r>
              <w:rPr>
                <w:rFonts w:hAnsi="宋体" w:hint="eastAsia"/>
                <w:sz w:val="18"/>
                <w:szCs w:val="18"/>
              </w:rPr>
              <w:t>P=0.9（MPa）</w:t>
            </w: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413A8651" w14:textId="77777777" w:rsidR="00DD0C6C" w:rsidRDefault="00000000">
            <w:pPr>
              <w:pStyle w:val="afffff5"/>
              <w:ind w:firstLineChars="0" w:firstLine="0"/>
              <w:jc w:val="center"/>
              <w:rPr>
                <w:rFonts w:hAnsi="宋体" w:hint="eastAsia"/>
                <w:sz w:val="18"/>
                <w:szCs w:val="18"/>
              </w:rPr>
            </w:pPr>
            <w:r>
              <w:rPr>
                <w:rFonts w:hAnsi="宋体" w:hint="eastAsia"/>
                <w:sz w:val="18"/>
                <w:szCs w:val="18"/>
              </w:rPr>
              <w:t>最高安装高度（m）</w:t>
            </w:r>
          </w:p>
        </w:tc>
      </w:tr>
      <w:tr w:rsidR="00DD0C6C" w14:paraId="5203B540"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77A2EE" w14:textId="77777777" w:rsidR="00DD0C6C" w:rsidRDefault="00DD0C6C">
            <w:pPr>
              <w:pStyle w:val="afffff5"/>
              <w:ind w:firstLine="360"/>
              <w:jc w:val="center"/>
              <w:rPr>
                <w:rFonts w:hAnsi="宋体" w:hint="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B242BB" w14:textId="77777777" w:rsidR="00DD0C6C" w:rsidRDefault="00DD0C6C">
            <w:pPr>
              <w:pStyle w:val="afffff5"/>
              <w:ind w:firstLine="360"/>
              <w:jc w:val="center"/>
              <w:rPr>
                <w:rFonts w:hAnsi="宋体" w:hint="eastAsia"/>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14:paraId="37B6B13D" w14:textId="77777777" w:rsidR="00DD0C6C" w:rsidRDefault="00000000">
            <w:pPr>
              <w:pStyle w:val="afffff5"/>
              <w:ind w:firstLineChars="111"/>
              <w:rPr>
                <w:rFonts w:hAnsi="宋体" w:hint="eastAsia"/>
                <w:sz w:val="18"/>
                <w:szCs w:val="18"/>
              </w:rPr>
            </w:pPr>
            <w:r>
              <w:rPr>
                <w:rFonts w:hAnsi="宋体" w:hint="eastAsia"/>
                <w:sz w:val="18"/>
                <w:szCs w:val="18"/>
              </w:rPr>
              <w:t>R（m）</w:t>
            </w:r>
          </w:p>
        </w:tc>
        <w:tc>
          <w:tcPr>
            <w:tcW w:w="949" w:type="dxa"/>
            <w:tcBorders>
              <w:top w:val="single" w:sz="4" w:space="0" w:color="auto"/>
              <w:left w:val="single" w:sz="4" w:space="0" w:color="auto"/>
              <w:bottom w:val="single" w:sz="4" w:space="0" w:color="auto"/>
              <w:right w:val="single" w:sz="4" w:space="0" w:color="auto"/>
            </w:tcBorders>
            <w:vAlign w:val="center"/>
          </w:tcPr>
          <w:p w14:paraId="76BA3890" w14:textId="77777777" w:rsidR="00DD0C6C" w:rsidRDefault="00000000">
            <w:pPr>
              <w:pStyle w:val="afffff5"/>
              <w:ind w:firstLineChars="0" w:firstLine="0"/>
              <w:rPr>
                <w:rFonts w:hAnsi="宋体" w:hint="eastAsia"/>
                <w:sz w:val="18"/>
                <w:szCs w:val="18"/>
              </w:rPr>
            </w:pPr>
            <w:r>
              <w:rPr>
                <w:rFonts w:hAnsi="宋体" w:hint="eastAsia"/>
                <w:sz w:val="18"/>
                <w:szCs w:val="18"/>
              </w:rPr>
              <w:t>q（L/s）</w:t>
            </w:r>
          </w:p>
        </w:tc>
        <w:tc>
          <w:tcPr>
            <w:tcW w:w="936" w:type="dxa"/>
            <w:tcBorders>
              <w:top w:val="single" w:sz="4" w:space="0" w:color="auto"/>
              <w:left w:val="single" w:sz="4" w:space="0" w:color="auto"/>
              <w:bottom w:val="single" w:sz="4" w:space="0" w:color="auto"/>
              <w:right w:val="single" w:sz="4" w:space="0" w:color="auto"/>
            </w:tcBorders>
            <w:vAlign w:val="center"/>
          </w:tcPr>
          <w:p w14:paraId="6118F07C" w14:textId="77777777" w:rsidR="00DD0C6C" w:rsidRDefault="00000000">
            <w:pPr>
              <w:pStyle w:val="afffff5"/>
              <w:ind w:firstLineChars="0" w:firstLine="0"/>
              <w:rPr>
                <w:rFonts w:hAnsi="宋体" w:hint="eastAsia"/>
                <w:sz w:val="18"/>
                <w:szCs w:val="18"/>
              </w:rPr>
            </w:pPr>
            <w:r>
              <w:rPr>
                <w:rFonts w:hAnsi="宋体" w:hint="eastAsia"/>
                <w:sz w:val="18"/>
                <w:szCs w:val="18"/>
              </w:rPr>
              <w:t>R（m）</w:t>
            </w:r>
          </w:p>
        </w:tc>
        <w:tc>
          <w:tcPr>
            <w:tcW w:w="949" w:type="dxa"/>
            <w:tcBorders>
              <w:top w:val="single" w:sz="4" w:space="0" w:color="auto"/>
              <w:left w:val="single" w:sz="4" w:space="0" w:color="auto"/>
              <w:bottom w:val="single" w:sz="4" w:space="0" w:color="auto"/>
              <w:right w:val="single" w:sz="4" w:space="0" w:color="auto"/>
            </w:tcBorders>
            <w:vAlign w:val="center"/>
          </w:tcPr>
          <w:p w14:paraId="14CEAEC6" w14:textId="77777777" w:rsidR="00DD0C6C" w:rsidRDefault="00000000">
            <w:pPr>
              <w:pStyle w:val="afffff5"/>
              <w:ind w:firstLineChars="0" w:firstLine="0"/>
              <w:rPr>
                <w:rFonts w:hAnsi="宋体" w:hint="eastAsia"/>
                <w:sz w:val="18"/>
                <w:szCs w:val="18"/>
              </w:rPr>
            </w:pPr>
            <w:r>
              <w:rPr>
                <w:rFonts w:hAnsi="宋体" w:hint="eastAsia"/>
                <w:sz w:val="18"/>
                <w:szCs w:val="18"/>
              </w:rPr>
              <w:t>q（L/s）</w:t>
            </w:r>
          </w:p>
        </w:tc>
        <w:tc>
          <w:tcPr>
            <w:tcW w:w="936" w:type="dxa"/>
            <w:tcBorders>
              <w:top w:val="single" w:sz="4" w:space="0" w:color="auto"/>
              <w:left w:val="single" w:sz="4" w:space="0" w:color="auto"/>
              <w:bottom w:val="single" w:sz="4" w:space="0" w:color="auto"/>
              <w:right w:val="single" w:sz="4" w:space="0" w:color="auto"/>
            </w:tcBorders>
            <w:vAlign w:val="center"/>
          </w:tcPr>
          <w:p w14:paraId="5813A0B8" w14:textId="77777777" w:rsidR="00DD0C6C" w:rsidRDefault="00000000">
            <w:pPr>
              <w:pStyle w:val="afffff5"/>
              <w:ind w:firstLineChars="0" w:firstLine="0"/>
              <w:jc w:val="center"/>
              <w:rPr>
                <w:rFonts w:hAnsi="宋体" w:hint="eastAsia"/>
                <w:sz w:val="18"/>
                <w:szCs w:val="18"/>
              </w:rPr>
            </w:pPr>
            <w:r>
              <w:rPr>
                <w:rFonts w:hAnsi="宋体" w:hint="eastAsia"/>
                <w:sz w:val="18"/>
                <w:szCs w:val="18"/>
              </w:rPr>
              <w:t>R（m）</w:t>
            </w:r>
          </w:p>
        </w:tc>
        <w:tc>
          <w:tcPr>
            <w:tcW w:w="949" w:type="dxa"/>
            <w:tcBorders>
              <w:top w:val="single" w:sz="4" w:space="0" w:color="auto"/>
              <w:left w:val="single" w:sz="4" w:space="0" w:color="auto"/>
              <w:bottom w:val="single" w:sz="4" w:space="0" w:color="auto"/>
              <w:right w:val="single" w:sz="4" w:space="0" w:color="auto"/>
            </w:tcBorders>
            <w:vAlign w:val="center"/>
          </w:tcPr>
          <w:p w14:paraId="040994EE" w14:textId="77777777" w:rsidR="00DD0C6C" w:rsidRDefault="00000000">
            <w:pPr>
              <w:pStyle w:val="afffff5"/>
              <w:ind w:firstLineChars="0" w:firstLine="0"/>
              <w:rPr>
                <w:rFonts w:hAnsi="宋体" w:hint="eastAsia"/>
                <w:sz w:val="18"/>
                <w:szCs w:val="18"/>
              </w:rPr>
            </w:pPr>
            <w:r>
              <w:rPr>
                <w:rFonts w:hAnsi="宋体" w:hint="eastAsia"/>
                <w:sz w:val="18"/>
                <w:szCs w:val="18"/>
              </w:rPr>
              <w:t>q（L/s）</w:t>
            </w:r>
          </w:p>
        </w:tc>
        <w:tc>
          <w:tcPr>
            <w:tcW w:w="0" w:type="auto"/>
            <w:vMerge/>
            <w:tcBorders>
              <w:top w:val="single" w:sz="4" w:space="0" w:color="auto"/>
              <w:left w:val="single" w:sz="4" w:space="0" w:color="auto"/>
              <w:bottom w:val="single" w:sz="4" w:space="0" w:color="auto"/>
              <w:right w:val="single" w:sz="4" w:space="0" w:color="auto"/>
            </w:tcBorders>
            <w:vAlign w:val="center"/>
          </w:tcPr>
          <w:p w14:paraId="7EA31904" w14:textId="77777777" w:rsidR="00DD0C6C" w:rsidRDefault="00DD0C6C">
            <w:pPr>
              <w:pStyle w:val="afffff5"/>
              <w:ind w:firstLine="360"/>
              <w:jc w:val="center"/>
              <w:rPr>
                <w:rFonts w:hAnsi="宋体" w:hint="eastAsia"/>
                <w:sz w:val="18"/>
                <w:szCs w:val="18"/>
              </w:rPr>
            </w:pPr>
          </w:p>
        </w:tc>
      </w:tr>
      <w:tr w:rsidR="00DD0C6C" w14:paraId="7965E4E8" w14:textId="77777777">
        <w:trPr>
          <w:jc w:val="center"/>
        </w:trPr>
        <w:tc>
          <w:tcPr>
            <w:tcW w:w="942" w:type="dxa"/>
            <w:tcBorders>
              <w:top w:val="single" w:sz="4" w:space="0" w:color="auto"/>
              <w:left w:val="single" w:sz="4" w:space="0" w:color="auto"/>
              <w:bottom w:val="single" w:sz="4" w:space="0" w:color="auto"/>
              <w:right w:val="single" w:sz="4" w:space="0" w:color="auto"/>
            </w:tcBorders>
            <w:vAlign w:val="center"/>
          </w:tcPr>
          <w:p w14:paraId="734D2965" w14:textId="77777777" w:rsidR="00DD0C6C" w:rsidRDefault="00000000">
            <w:pPr>
              <w:pStyle w:val="afffff5"/>
              <w:ind w:firstLineChars="0" w:firstLine="0"/>
              <w:jc w:val="center"/>
              <w:rPr>
                <w:rFonts w:hAnsi="宋体" w:hint="eastAsia"/>
                <w:sz w:val="18"/>
                <w:szCs w:val="18"/>
              </w:rPr>
            </w:pPr>
            <w:r>
              <w:rPr>
                <w:rFonts w:hAnsi="宋体" w:hint="eastAsia"/>
                <w:sz w:val="18"/>
                <w:szCs w:val="18"/>
              </w:rPr>
              <w:t>15</w:t>
            </w:r>
          </w:p>
        </w:tc>
        <w:tc>
          <w:tcPr>
            <w:tcW w:w="923" w:type="dxa"/>
            <w:tcBorders>
              <w:top w:val="single" w:sz="4" w:space="0" w:color="auto"/>
              <w:left w:val="single" w:sz="4" w:space="0" w:color="auto"/>
              <w:bottom w:val="single" w:sz="4" w:space="0" w:color="auto"/>
              <w:right w:val="single" w:sz="4" w:space="0" w:color="auto"/>
            </w:tcBorders>
            <w:vAlign w:val="center"/>
          </w:tcPr>
          <w:p w14:paraId="7239FD07" w14:textId="77777777" w:rsidR="00DD0C6C" w:rsidRDefault="00000000">
            <w:pPr>
              <w:pStyle w:val="afffff5"/>
              <w:ind w:firstLineChars="0" w:firstLine="0"/>
              <w:jc w:val="center"/>
              <w:rPr>
                <w:rFonts w:hAnsi="宋体" w:hint="eastAsia"/>
                <w:sz w:val="18"/>
                <w:szCs w:val="18"/>
              </w:rPr>
            </w:pPr>
            <w:r>
              <w:rPr>
                <w:rFonts w:hAnsi="宋体" w:hint="eastAsia"/>
                <w:sz w:val="18"/>
                <w:szCs w:val="18"/>
              </w:rPr>
              <w:t>90</w:t>
            </w:r>
          </w:p>
        </w:tc>
        <w:tc>
          <w:tcPr>
            <w:tcW w:w="936" w:type="dxa"/>
            <w:tcBorders>
              <w:top w:val="single" w:sz="4" w:space="0" w:color="auto"/>
              <w:left w:val="single" w:sz="4" w:space="0" w:color="auto"/>
              <w:bottom w:val="single" w:sz="4" w:space="0" w:color="auto"/>
              <w:right w:val="single" w:sz="4" w:space="0" w:color="auto"/>
            </w:tcBorders>
            <w:vAlign w:val="center"/>
          </w:tcPr>
          <w:p w14:paraId="35ACE0C4" w14:textId="77777777" w:rsidR="00DD0C6C" w:rsidRDefault="00000000">
            <w:pPr>
              <w:pStyle w:val="afffff5"/>
              <w:ind w:firstLineChars="0" w:firstLine="0"/>
              <w:jc w:val="center"/>
              <w:rPr>
                <w:rFonts w:hAnsi="宋体" w:hint="eastAsia"/>
                <w:sz w:val="18"/>
                <w:szCs w:val="18"/>
              </w:rPr>
            </w:pPr>
            <w:r>
              <w:rPr>
                <w:rFonts w:hAnsi="宋体" w:hint="eastAsia"/>
                <w:sz w:val="18"/>
                <w:szCs w:val="18"/>
              </w:rPr>
              <w:t>5.0</w:t>
            </w:r>
          </w:p>
        </w:tc>
        <w:tc>
          <w:tcPr>
            <w:tcW w:w="949" w:type="dxa"/>
            <w:tcBorders>
              <w:top w:val="single" w:sz="4" w:space="0" w:color="auto"/>
              <w:left w:val="single" w:sz="4" w:space="0" w:color="auto"/>
              <w:bottom w:val="single" w:sz="4" w:space="0" w:color="auto"/>
              <w:right w:val="single" w:sz="4" w:space="0" w:color="auto"/>
            </w:tcBorders>
            <w:vAlign w:val="center"/>
          </w:tcPr>
          <w:p w14:paraId="44379658" w14:textId="77777777" w:rsidR="00DD0C6C" w:rsidRDefault="00000000">
            <w:pPr>
              <w:pStyle w:val="afffff5"/>
              <w:ind w:firstLineChars="0" w:firstLine="0"/>
              <w:jc w:val="center"/>
              <w:rPr>
                <w:rFonts w:hAnsi="宋体" w:hint="eastAsia"/>
                <w:sz w:val="18"/>
                <w:szCs w:val="18"/>
              </w:rPr>
            </w:pPr>
            <w:r>
              <w:rPr>
                <w:rFonts w:hAnsi="宋体" w:hint="eastAsia"/>
                <w:sz w:val="18"/>
                <w:szCs w:val="18"/>
              </w:rPr>
              <w:t>1.50</w:t>
            </w:r>
          </w:p>
        </w:tc>
        <w:tc>
          <w:tcPr>
            <w:tcW w:w="936" w:type="dxa"/>
            <w:tcBorders>
              <w:top w:val="single" w:sz="4" w:space="0" w:color="auto"/>
              <w:left w:val="single" w:sz="4" w:space="0" w:color="auto"/>
              <w:bottom w:val="single" w:sz="4" w:space="0" w:color="auto"/>
              <w:right w:val="single" w:sz="4" w:space="0" w:color="auto"/>
            </w:tcBorders>
            <w:vAlign w:val="center"/>
          </w:tcPr>
          <w:p w14:paraId="238F9153" w14:textId="77777777" w:rsidR="00DD0C6C" w:rsidRDefault="00000000">
            <w:pPr>
              <w:pStyle w:val="afffff5"/>
              <w:ind w:firstLineChars="0" w:firstLine="0"/>
              <w:jc w:val="center"/>
              <w:rPr>
                <w:rFonts w:hAnsi="宋体" w:hint="eastAsia"/>
                <w:sz w:val="18"/>
                <w:szCs w:val="18"/>
              </w:rPr>
            </w:pPr>
            <w:r>
              <w:rPr>
                <w:rFonts w:hAnsi="宋体" w:hint="eastAsia"/>
                <w:sz w:val="18"/>
                <w:szCs w:val="18"/>
              </w:rPr>
              <w:t>5.5</w:t>
            </w:r>
          </w:p>
        </w:tc>
        <w:tc>
          <w:tcPr>
            <w:tcW w:w="949" w:type="dxa"/>
            <w:tcBorders>
              <w:top w:val="single" w:sz="4" w:space="0" w:color="auto"/>
              <w:left w:val="single" w:sz="4" w:space="0" w:color="auto"/>
              <w:bottom w:val="single" w:sz="4" w:space="0" w:color="auto"/>
              <w:right w:val="single" w:sz="4" w:space="0" w:color="auto"/>
            </w:tcBorders>
            <w:vAlign w:val="center"/>
          </w:tcPr>
          <w:p w14:paraId="55C6F172" w14:textId="77777777" w:rsidR="00DD0C6C" w:rsidRDefault="00000000">
            <w:pPr>
              <w:pStyle w:val="afffff5"/>
              <w:ind w:firstLineChars="0" w:firstLine="0"/>
              <w:jc w:val="center"/>
              <w:rPr>
                <w:rFonts w:hAnsi="宋体" w:hint="eastAsia"/>
                <w:sz w:val="18"/>
                <w:szCs w:val="18"/>
              </w:rPr>
            </w:pPr>
            <w:r>
              <w:rPr>
                <w:rFonts w:hAnsi="宋体" w:hint="eastAsia"/>
                <w:sz w:val="18"/>
                <w:szCs w:val="18"/>
              </w:rPr>
              <w:t>2.29</w:t>
            </w:r>
          </w:p>
        </w:tc>
        <w:tc>
          <w:tcPr>
            <w:tcW w:w="936" w:type="dxa"/>
            <w:tcBorders>
              <w:top w:val="single" w:sz="4" w:space="0" w:color="auto"/>
              <w:left w:val="single" w:sz="4" w:space="0" w:color="auto"/>
              <w:bottom w:val="single" w:sz="4" w:space="0" w:color="auto"/>
              <w:right w:val="single" w:sz="4" w:space="0" w:color="auto"/>
            </w:tcBorders>
            <w:vAlign w:val="center"/>
          </w:tcPr>
          <w:p w14:paraId="4C298984" w14:textId="77777777" w:rsidR="00DD0C6C" w:rsidRDefault="00000000">
            <w:pPr>
              <w:pStyle w:val="afffff5"/>
              <w:ind w:firstLineChars="0" w:firstLine="0"/>
              <w:jc w:val="center"/>
              <w:rPr>
                <w:rFonts w:hAnsi="宋体" w:hint="eastAsia"/>
                <w:sz w:val="18"/>
                <w:szCs w:val="18"/>
              </w:rPr>
            </w:pPr>
            <w:r>
              <w:rPr>
                <w:rFonts w:hAnsi="宋体" w:hint="eastAsia"/>
                <w:sz w:val="18"/>
                <w:szCs w:val="18"/>
              </w:rPr>
              <w:t>5.5</w:t>
            </w:r>
          </w:p>
        </w:tc>
        <w:tc>
          <w:tcPr>
            <w:tcW w:w="949" w:type="dxa"/>
            <w:tcBorders>
              <w:top w:val="single" w:sz="4" w:space="0" w:color="auto"/>
              <w:left w:val="single" w:sz="4" w:space="0" w:color="auto"/>
              <w:bottom w:val="single" w:sz="4" w:space="0" w:color="auto"/>
              <w:right w:val="single" w:sz="4" w:space="0" w:color="auto"/>
            </w:tcBorders>
            <w:vAlign w:val="center"/>
          </w:tcPr>
          <w:p w14:paraId="708D6464" w14:textId="77777777" w:rsidR="00DD0C6C" w:rsidRDefault="00000000">
            <w:pPr>
              <w:pStyle w:val="afffff5"/>
              <w:ind w:firstLineChars="0" w:firstLine="0"/>
              <w:jc w:val="center"/>
              <w:rPr>
                <w:rFonts w:hAnsi="宋体" w:hint="eastAsia"/>
                <w:sz w:val="18"/>
                <w:szCs w:val="18"/>
              </w:rPr>
            </w:pPr>
            <w:r>
              <w:rPr>
                <w:rFonts w:hAnsi="宋体" w:hint="eastAsia"/>
                <w:sz w:val="18"/>
                <w:szCs w:val="18"/>
              </w:rPr>
              <w:t>4.12</w:t>
            </w:r>
          </w:p>
        </w:tc>
        <w:tc>
          <w:tcPr>
            <w:tcW w:w="1824" w:type="dxa"/>
            <w:tcBorders>
              <w:top w:val="single" w:sz="4" w:space="0" w:color="auto"/>
              <w:left w:val="single" w:sz="4" w:space="0" w:color="auto"/>
              <w:bottom w:val="single" w:sz="4" w:space="0" w:color="auto"/>
              <w:right w:val="single" w:sz="4" w:space="0" w:color="auto"/>
            </w:tcBorders>
            <w:vAlign w:val="center"/>
          </w:tcPr>
          <w:p w14:paraId="7B514F8E" w14:textId="77777777" w:rsidR="00DD0C6C" w:rsidRDefault="00000000">
            <w:pPr>
              <w:pStyle w:val="afffff5"/>
              <w:ind w:firstLineChars="0" w:firstLine="0"/>
              <w:jc w:val="center"/>
              <w:rPr>
                <w:rFonts w:hAnsi="宋体" w:hint="eastAsia"/>
                <w:sz w:val="18"/>
                <w:szCs w:val="18"/>
              </w:rPr>
            </w:pPr>
            <w:r>
              <w:rPr>
                <w:rFonts w:hAnsi="宋体" w:hint="eastAsia"/>
                <w:sz w:val="18"/>
                <w:szCs w:val="18"/>
              </w:rPr>
              <w:t>8</w:t>
            </w:r>
          </w:p>
        </w:tc>
      </w:tr>
      <w:tr w:rsidR="00DD0C6C" w14:paraId="481C122B" w14:textId="77777777">
        <w:trPr>
          <w:jc w:val="center"/>
        </w:trPr>
        <w:tc>
          <w:tcPr>
            <w:tcW w:w="942" w:type="dxa"/>
            <w:tcBorders>
              <w:top w:val="single" w:sz="4" w:space="0" w:color="auto"/>
              <w:left w:val="single" w:sz="4" w:space="0" w:color="auto"/>
              <w:bottom w:val="single" w:sz="4" w:space="0" w:color="auto"/>
              <w:right w:val="single" w:sz="4" w:space="0" w:color="auto"/>
            </w:tcBorders>
            <w:vAlign w:val="center"/>
          </w:tcPr>
          <w:p w14:paraId="550B8EE4" w14:textId="77777777" w:rsidR="00DD0C6C" w:rsidRDefault="00000000">
            <w:pPr>
              <w:pStyle w:val="afffff5"/>
              <w:ind w:firstLineChars="0" w:firstLine="0"/>
              <w:jc w:val="center"/>
              <w:rPr>
                <w:rFonts w:hAnsi="宋体" w:hint="eastAsia"/>
                <w:sz w:val="18"/>
                <w:szCs w:val="18"/>
              </w:rPr>
            </w:pPr>
            <w:r>
              <w:rPr>
                <w:rFonts w:hAnsi="宋体" w:hint="eastAsia"/>
                <w:sz w:val="18"/>
                <w:szCs w:val="18"/>
              </w:rPr>
              <w:t>20</w:t>
            </w:r>
          </w:p>
        </w:tc>
        <w:tc>
          <w:tcPr>
            <w:tcW w:w="923" w:type="dxa"/>
            <w:tcBorders>
              <w:top w:val="single" w:sz="4" w:space="0" w:color="auto"/>
              <w:left w:val="single" w:sz="4" w:space="0" w:color="auto"/>
              <w:bottom w:val="single" w:sz="4" w:space="0" w:color="auto"/>
              <w:right w:val="single" w:sz="4" w:space="0" w:color="auto"/>
            </w:tcBorders>
            <w:vAlign w:val="center"/>
          </w:tcPr>
          <w:p w14:paraId="3775AF59" w14:textId="77777777" w:rsidR="00DD0C6C" w:rsidRDefault="00000000">
            <w:pPr>
              <w:pStyle w:val="afffff5"/>
              <w:ind w:firstLineChars="0" w:firstLine="0"/>
              <w:jc w:val="center"/>
              <w:rPr>
                <w:rFonts w:hAnsi="宋体" w:hint="eastAsia"/>
                <w:sz w:val="18"/>
                <w:szCs w:val="18"/>
              </w:rPr>
            </w:pPr>
            <w:r>
              <w:rPr>
                <w:rFonts w:hAnsi="宋体" w:hint="eastAsia"/>
                <w:sz w:val="18"/>
                <w:szCs w:val="18"/>
              </w:rPr>
              <w:t>142</w:t>
            </w:r>
          </w:p>
        </w:tc>
        <w:tc>
          <w:tcPr>
            <w:tcW w:w="936" w:type="dxa"/>
            <w:tcBorders>
              <w:top w:val="single" w:sz="4" w:space="0" w:color="auto"/>
              <w:left w:val="single" w:sz="4" w:space="0" w:color="auto"/>
              <w:bottom w:val="single" w:sz="4" w:space="0" w:color="auto"/>
              <w:right w:val="single" w:sz="4" w:space="0" w:color="auto"/>
            </w:tcBorders>
            <w:vAlign w:val="center"/>
          </w:tcPr>
          <w:p w14:paraId="38D4C01A" w14:textId="77777777" w:rsidR="00DD0C6C" w:rsidRDefault="00000000">
            <w:pPr>
              <w:pStyle w:val="afffff5"/>
              <w:ind w:firstLineChars="0" w:firstLine="0"/>
              <w:jc w:val="center"/>
              <w:rPr>
                <w:rFonts w:hAnsi="宋体" w:hint="eastAsia"/>
                <w:sz w:val="18"/>
                <w:szCs w:val="18"/>
              </w:rPr>
            </w:pPr>
            <w:r>
              <w:rPr>
                <w:rFonts w:hAnsi="宋体" w:hint="eastAsia"/>
                <w:sz w:val="18"/>
                <w:szCs w:val="18"/>
              </w:rPr>
              <w:t>6.0</w:t>
            </w:r>
          </w:p>
        </w:tc>
        <w:tc>
          <w:tcPr>
            <w:tcW w:w="949" w:type="dxa"/>
            <w:tcBorders>
              <w:top w:val="single" w:sz="4" w:space="0" w:color="auto"/>
              <w:left w:val="single" w:sz="4" w:space="0" w:color="auto"/>
              <w:bottom w:val="single" w:sz="4" w:space="0" w:color="auto"/>
              <w:right w:val="single" w:sz="4" w:space="0" w:color="auto"/>
            </w:tcBorders>
            <w:vAlign w:val="center"/>
          </w:tcPr>
          <w:p w14:paraId="54DA65F5" w14:textId="77777777" w:rsidR="00DD0C6C" w:rsidRDefault="00000000">
            <w:pPr>
              <w:pStyle w:val="afffff5"/>
              <w:ind w:firstLineChars="0" w:firstLine="0"/>
              <w:jc w:val="center"/>
              <w:rPr>
                <w:rFonts w:hAnsi="宋体" w:hint="eastAsia"/>
                <w:sz w:val="18"/>
                <w:szCs w:val="18"/>
              </w:rPr>
            </w:pPr>
            <w:r>
              <w:rPr>
                <w:rFonts w:hAnsi="宋体" w:hint="eastAsia"/>
                <w:sz w:val="18"/>
                <w:szCs w:val="18"/>
              </w:rPr>
              <w:t>2.37</w:t>
            </w:r>
          </w:p>
        </w:tc>
        <w:tc>
          <w:tcPr>
            <w:tcW w:w="936" w:type="dxa"/>
            <w:tcBorders>
              <w:top w:val="single" w:sz="4" w:space="0" w:color="auto"/>
              <w:left w:val="single" w:sz="4" w:space="0" w:color="auto"/>
              <w:bottom w:val="single" w:sz="4" w:space="0" w:color="auto"/>
              <w:right w:val="single" w:sz="4" w:space="0" w:color="auto"/>
            </w:tcBorders>
            <w:vAlign w:val="center"/>
          </w:tcPr>
          <w:p w14:paraId="598650E7" w14:textId="77777777" w:rsidR="00DD0C6C" w:rsidRDefault="00000000">
            <w:pPr>
              <w:pStyle w:val="afffff5"/>
              <w:ind w:firstLineChars="0" w:firstLine="0"/>
              <w:jc w:val="center"/>
              <w:rPr>
                <w:rFonts w:hAnsi="宋体" w:hint="eastAsia"/>
                <w:sz w:val="18"/>
                <w:szCs w:val="18"/>
              </w:rPr>
            </w:pPr>
            <w:r>
              <w:rPr>
                <w:rFonts w:hAnsi="宋体" w:hint="eastAsia"/>
                <w:sz w:val="18"/>
                <w:szCs w:val="18"/>
              </w:rPr>
              <w:t>6.5</w:t>
            </w:r>
          </w:p>
        </w:tc>
        <w:tc>
          <w:tcPr>
            <w:tcW w:w="949" w:type="dxa"/>
            <w:tcBorders>
              <w:top w:val="single" w:sz="4" w:space="0" w:color="auto"/>
              <w:left w:val="single" w:sz="4" w:space="0" w:color="auto"/>
              <w:bottom w:val="single" w:sz="4" w:space="0" w:color="auto"/>
              <w:right w:val="single" w:sz="4" w:space="0" w:color="auto"/>
            </w:tcBorders>
            <w:vAlign w:val="center"/>
          </w:tcPr>
          <w:p w14:paraId="10DA9326" w14:textId="77777777" w:rsidR="00DD0C6C" w:rsidRDefault="00000000">
            <w:pPr>
              <w:pStyle w:val="afffff5"/>
              <w:ind w:firstLineChars="0" w:firstLine="0"/>
              <w:jc w:val="center"/>
              <w:rPr>
                <w:rFonts w:hAnsi="宋体" w:hint="eastAsia"/>
                <w:sz w:val="18"/>
                <w:szCs w:val="18"/>
              </w:rPr>
            </w:pPr>
            <w:r>
              <w:rPr>
                <w:rFonts w:hAnsi="宋体" w:hint="eastAsia"/>
                <w:sz w:val="18"/>
                <w:szCs w:val="18"/>
              </w:rPr>
              <w:t>3.61</w:t>
            </w:r>
          </w:p>
        </w:tc>
        <w:tc>
          <w:tcPr>
            <w:tcW w:w="936" w:type="dxa"/>
            <w:tcBorders>
              <w:top w:val="single" w:sz="4" w:space="0" w:color="auto"/>
              <w:left w:val="single" w:sz="4" w:space="0" w:color="auto"/>
              <w:bottom w:val="single" w:sz="4" w:space="0" w:color="auto"/>
              <w:right w:val="single" w:sz="4" w:space="0" w:color="auto"/>
            </w:tcBorders>
            <w:vAlign w:val="center"/>
          </w:tcPr>
          <w:p w14:paraId="2C4BDB7E" w14:textId="77777777" w:rsidR="00DD0C6C" w:rsidRDefault="00000000">
            <w:pPr>
              <w:pStyle w:val="afffff5"/>
              <w:ind w:firstLineChars="0" w:firstLine="0"/>
              <w:jc w:val="center"/>
              <w:rPr>
                <w:rFonts w:hAnsi="宋体" w:hint="eastAsia"/>
                <w:sz w:val="18"/>
                <w:szCs w:val="18"/>
              </w:rPr>
            </w:pPr>
            <w:r>
              <w:rPr>
                <w:rFonts w:hAnsi="宋体" w:hint="eastAsia"/>
                <w:sz w:val="18"/>
                <w:szCs w:val="18"/>
              </w:rPr>
              <w:t>7.0</w:t>
            </w:r>
          </w:p>
        </w:tc>
        <w:tc>
          <w:tcPr>
            <w:tcW w:w="949" w:type="dxa"/>
            <w:tcBorders>
              <w:top w:val="single" w:sz="4" w:space="0" w:color="auto"/>
              <w:left w:val="single" w:sz="4" w:space="0" w:color="auto"/>
              <w:bottom w:val="single" w:sz="4" w:space="0" w:color="auto"/>
              <w:right w:val="single" w:sz="4" w:space="0" w:color="auto"/>
            </w:tcBorders>
            <w:vAlign w:val="center"/>
          </w:tcPr>
          <w:p w14:paraId="75303D92" w14:textId="77777777" w:rsidR="00DD0C6C" w:rsidRDefault="00000000">
            <w:pPr>
              <w:pStyle w:val="afffff5"/>
              <w:ind w:firstLineChars="0" w:firstLine="0"/>
              <w:jc w:val="center"/>
              <w:rPr>
                <w:rFonts w:hAnsi="宋体" w:hint="eastAsia"/>
                <w:sz w:val="18"/>
                <w:szCs w:val="18"/>
              </w:rPr>
            </w:pPr>
            <w:r>
              <w:rPr>
                <w:rFonts w:hAnsi="宋体" w:hint="eastAsia"/>
                <w:sz w:val="18"/>
                <w:szCs w:val="18"/>
              </w:rPr>
              <w:t>6.5</w:t>
            </w:r>
          </w:p>
        </w:tc>
        <w:tc>
          <w:tcPr>
            <w:tcW w:w="1824" w:type="dxa"/>
            <w:tcBorders>
              <w:top w:val="single" w:sz="4" w:space="0" w:color="auto"/>
              <w:left w:val="single" w:sz="4" w:space="0" w:color="auto"/>
              <w:bottom w:val="single" w:sz="4" w:space="0" w:color="auto"/>
              <w:right w:val="single" w:sz="4" w:space="0" w:color="auto"/>
            </w:tcBorders>
            <w:vAlign w:val="center"/>
          </w:tcPr>
          <w:p w14:paraId="56B71135" w14:textId="77777777" w:rsidR="00DD0C6C" w:rsidRDefault="00000000">
            <w:pPr>
              <w:pStyle w:val="afffff5"/>
              <w:ind w:firstLineChars="0" w:firstLine="0"/>
              <w:jc w:val="center"/>
              <w:rPr>
                <w:rFonts w:hAnsi="宋体" w:hint="eastAsia"/>
                <w:sz w:val="18"/>
                <w:szCs w:val="18"/>
              </w:rPr>
            </w:pPr>
            <w:r>
              <w:rPr>
                <w:rFonts w:hAnsi="宋体" w:hint="eastAsia"/>
                <w:sz w:val="18"/>
                <w:szCs w:val="18"/>
              </w:rPr>
              <w:t>15</w:t>
            </w:r>
          </w:p>
        </w:tc>
      </w:tr>
      <w:tr w:rsidR="00DD0C6C" w14:paraId="07B77FD2" w14:textId="77777777">
        <w:trPr>
          <w:jc w:val="center"/>
        </w:trPr>
        <w:tc>
          <w:tcPr>
            <w:tcW w:w="942" w:type="dxa"/>
            <w:tcBorders>
              <w:top w:val="single" w:sz="4" w:space="0" w:color="auto"/>
              <w:left w:val="single" w:sz="4" w:space="0" w:color="auto"/>
              <w:bottom w:val="single" w:sz="4" w:space="0" w:color="auto"/>
              <w:right w:val="single" w:sz="4" w:space="0" w:color="auto"/>
            </w:tcBorders>
            <w:vAlign w:val="center"/>
          </w:tcPr>
          <w:p w14:paraId="77F1D562" w14:textId="77777777" w:rsidR="00DD0C6C" w:rsidRDefault="00000000">
            <w:pPr>
              <w:pStyle w:val="afffff5"/>
              <w:ind w:firstLineChars="0" w:firstLine="0"/>
              <w:jc w:val="center"/>
              <w:rPr>
                <w:rFonts w:hAnsi="宋体" w:hint="eastAsia"/>
                <w:sz w:val="18"/>
                <w:szCs w:val="18"/>
              </w:rPr>
            </w:pPr>
            <w:r>
              <w:rPr>
                <w:rFonts w:hAnsi="宋体" w:hint="eastAsia"/>
                <w:sz w:val="18"/>
                <w:szCs w:val="18"/>
              </w:rPr>
              <w:t>25</w:t>
            </w:r>
          </w:p>
        </w:tc>
        <w:tc>
          <w:tcPr>
            <w:tcW w:w="923" w:type="dxa"/>
            <w:tcBorders>
              <w:top w:val="single" w:sz="4" w:space="0" w:color="auto"/>
              <w:left w:val="single" w:sz="4" w:space="0" w:color="auto"/>
              <w:bottom w:val="single" w:sz="4" w:space="0" w:color="auto"/>
              <w:right w:val="single" w:sz="4" w:space="0" w:color="auto"/>
            </w:tcBorders>
            <w:vAlign w:val="center"/>
          </w:tcPr>
          <w:p w14:paraId="139401AC" w14:textId="77777777" w:rsidR="00DD0C6C" w:rsidRDefault="00000000">
            <w:pPr>
              <w:pStyle w:val="afffff5"/>
              <w:ind w:firstLineChars="0" w:firstLine="0"/>
              <w:jc w:val="center"/>
              <w:rPr>
                <w:rFonts w:hAnsi="宋体" w:hint="eastAsia"/>
                <w:sz w:val="18"/>
                <w:szCs w:val="18"/>
              </w:rPr>
            </w:pPr>
            <w:r>
              <w:rPr>
                <w:rFonts w:hAnsi="宋体" w:hint="eastAsia"/>
                <w:sz w:val="18"/>
                <w:szCs w:val="18"/>
              </w:rPr>
              <w:t>242</w:t>
            </w:r>
          </w:p>
        </w:tc>
        <w:tc>
          <w:tcPr>
            <w:tcW w:w="936" w:type="dxa"/>
            <w:tcBorders>
              <w:top w:val="single" w:sz="4" w:space="0" w:color="auto"/>
              <w:left w:val="single" w:sz="4" w:space="0" w:color="auto"/>
              <w:bottom w:val="single" w:sz="4" w:space="0" w:color="auto"/>
              <w:right w:val="single" w:sz="4" w:space="0" w:color="auto"/>
            </w:tcBorders>
            <w:vAlign w:val="center"/>
          </w:tcPr>
          <w:p w14:paraId="3010DAB5" w14:textId="77777777" w:rsidR="00DD0C6C" w:rsidRDefault="00000000">
            <w:pPr>
              <w:pStyle w:val="afffff5"/>
              <w:ind w:firstLineChars="0" w:firstLine="0"/>
              <w:jc w:val="center"/>
              <w:rPr>
                <w:rFonts w:hAnsi="宋体" w:hint="eastAsia"/>
                <w:sz w:val="18"/>
                <w:szCs w:val="18"/>
              </w:rPr>
            </w:pPr>
            <w:r>
              <w:rPr>
                <w:rFonts w:hAnsi="宋体" w:hint="eastAsia"/>
                <w:sz w:val="18"/>
                <w:szCs w:val="18"/>
              </w:rPr>
              <w:t>6.5</w:t>
            </w:r>
          </w:p>
        </w:tc>
        <w:tc>
          <w:tcPr>
            <w:tcW w:w="949" w:type="dxa"/>
            <w:tcBorders>
              <w:top w:val="single" w:sz="4" w:space="0" w:color="auto"/>
              <w:left w:val="single" w:sz="4" w:space="0" w:color="auto"/>
              <w:bottom w:val="single" w:sz="4" w:space="0" w:color="auto"/>
              <w:right w:val="single" w:sz="4" w:space="0" w:color="auto"/>
            </w:tcBorders>
            <w:vAlign w:val="center"/>
          </w:tcPr>
          <w:p w14:paraId="11A32693" w14:textId="77777777" w:rsidR="00DD0C6C" w:rsidRDefault="00000000">
            <w:pPr>
              <w:pStyle w:val="afffff5"/>
              <w:ind w:firstLineChars="0" w:firstLine="0"/>
              <w:jc w:val="center"/>
              <w:rPr>
                <w:rFonts w:hAnsi="宋体" w:hint="eastAsia"/>
                <w:sz w:val="18"/>
                <w:szCs w:val="18"/>
              </w:rPr>
            </w:pPr>
            <w:r>
              <w:rPr>
                <w:rFonts w:hAnsi="宋体" w:hint="eastAsia"/>
                <w:sz w:val="18"/>
                <w:szCs w:val="18"/>
              </w:rPr>
              <w:t>4.03</w:t>
            </w:r>
          </w:p>
        </w:tc>
        <w:tc>
          <w:tcPr>
            <w:tcW w:w="936" w:type="dxa"/>
            <w:tcBorders>
              <w:top w:val="single" w:sz="4" w:space="0" w:color="auto"/>
              <w:left w:val="single" w:sz="4" w:space="0" w:color="auto"/>
              <w:bottom w:val="single" w:sz="4" w:space="0" w:color="auto"/>
              <w:right w:val="single" w:sz="4" w:space="0" w:color="auto"/>
            </w:tcBorders>
            <w:vAlign w:val="center"/>
          </w:tcPr>
          <w:p w14:paraId="3B0BA08E" w14:textId="77777777" w:rsidR="00DD0C6C" w:rsidRDefault="00000000">
            <w:pPr>
              <w:pStyle w:val="afffff5"/>
              <w:ind w:firstLineChars="0" w:firstLine="0"/>
              <w:jc w:val="center"/>
              <w:rPr>
                <w:rFonts w:hAnsi="宋体" w:hint="eastAsia"/>
                <w:sz w:val="18"/>
                <w:szCs w:val="18"/>
              </w:rPr>
            </w:pPr>
            <w:r>
              <w:rPr>
                <w:rFonts w:hAnsi="宋体" w:hint="eastAsia"/>
                <w:sz w:val="18"/>
                <w:szCs w:val="18"/>
              </w:rPr>
              <w:t>7.0</w:t>
            </w:r>
          </w:p>
        </w:tc>
        <w:tc>
          <w:tcPr>
            <w:tcW w:w="949" w:type="dxa"/>
            <w:tcBorders>
              <w:top w:val="single" w:sz="4" w:space="0" w:color="auto"/>
              <w:left w:val="single" w:sz="4" w:space="0" w:color="auto"/>
              <w:bottom w:val="single" w:sz="4" w:space="0" w:color="auto"/>
              <w:right w:val="single" w:sz="4" w:space="0" w:color="auto"/>
            </w:tcBorders>
            <w:vAlign w:val="center"/>
          </w:tcPr>
          <w:p w14:paraId="481B488B" w14:textId="77777777" w:rsidR="00DD0C6C" w:rsidRDefault="00000000">
            <w:pPr>
              <w:pStyle w:val="afffff5"/>
              <w:ind w:firstLineChars="0" w:firstLine="0"/>
              <w:jc w:val="center"/>
              <w:rPr>
                <w:rFonts w:hAnsi="宋体" w:hint="eastAsia"/>
                <w:sz w:val="18"/>
                <w:szCs w:val="18"/>
              </w:rPr>
            </w:pPr>
            <w:r>
              <w:rPr>
                <w:rFonts w:hAnsi="宋体" w:hint="eastAsia"/>
                <w:sz w:val="18"/>
                <w:szCs w:val="18"/>
              </w:rPr>
              <w:t>5.98</w:t>
            </w:r>
          </w:p>
        </w:tc>
        <w:tc>
          <w:tcPr>
            <w:tcW w:w="936" w:type="dxa"/>
            <w:tcBorders>
              <w:top w:val="single" w:sz="4" w:space="0" w:color="auto"/>
              <w:left w:val="single" w:sz="4" w:space="0" w:color="auto"/>
              <w:bottom w:val="single" w:sz="4" w:space="0" w:color="auto"/>
              <w:right w:val="single" w:sz="4" w:space="0" w:color="auto"/>
            </w:tcBorders>
            <w:vAlign w:val="center"/>
          </w:tcPr>
          <w:p w14:paraId="59BAD7FB" w14:textId="77777777" w:rsidR="00DD0C6C" w:rsidRDefault="00000000">
            <w:pPr>
              <w:pStyle w:val="afffff5"/>
              <w:ind w:firstLineChars="0" w:firstLine="0"/>
              <w:jc w:val="center"/>
              <w:rPr>
                <w:rFonts w:hAnsi="宋体" w:hint="eastAsia"/>
                <w:sz w:val="18"/>
                <w:szCs w:val="18"/>
              </w:rPr>
            </w:pPr>
            <w:r>
              <w:rPr>
                <w:rFonts w:hAnsi="宋体" w:hint="eastAsia"/>
                <w:sz w:val="18"/>
                <w:szCs w:val="18"/>
              </w:rPr>
              <w:t>7.5</w:t>
            </w:r>
          </w:p>
        </w:tc>
        <w:tc>
          <w:tcPr>
            <w:tcW w:w="949" w:type="dxa"/>
            <w:tcBorders>
              <w:top w:val="single" w:sz="4" w:space="0" w:color="auto"/>
              <w:left w:val="single" w:sz="4" w:space="0" w:color="auto"/>
              <w:bottom w:val="single" w:sz="4" w:space="0" w:color="auto"/>
              <w:right w:val="single" w:sz="4" w:space="0" w:color="auto"/>
            </w:tcBorders>
            <w:vAlign w:val="center"/>
          </w:tcPr>
          <w:p w14:paraId="6FFCB011" w14:textId="77777777" w:rsidR="00DD0C6C" w:rsidRDefault="00000000">
            <w:pPr>
              <w:pStyle w:val="afffff5"/>
              <w:ind w:firstLineChars="0" w:firstLine="0"/>
              <w:jc w:val="center"/>
              <w:rPr>
                <w:rFonts w:hAnsi="宋体" w:hint="eastAsia"/>
                <w:sz w:val="18"/>
                <w:szCs w:val="18"/>
              </w:rPr>
            </w:pPr>
            <w:r>
              <w:rPr>
                <w:rFonts w:hAnsi="宋体" w:hint="eastAsia"/>
                <w:sz w:val="18"/>
                <w:szCs w:val="18"/>
              </w:rPr>
              <w:t>10.4</w:t>
            </w:r>
          </w:p>
        </w:tc>
        <w:tc>
          <w:tcPr>
            <w:tcW w:w="1824" w:type="dxa"/>
            <w:tcBorders>
              <w:top w:val="single" w:sz="4" w:space="0" w:color="auto"/>
              <w:left w:val="single" w:sz="4" w:space="0" w:color="auto"/>
              <w:bottom w:val="single" w:sz="4" w:space="0" w:color="auto"/>
              <w:right w:val="single" w:sz="4" w:space="0" w:color="auto"/>
            </w:tcBorders>
            <w:vAlign w:val="center"/>
          </w:tcPr>
          <w:p w14:paraId="4BFB6DFE" w14:textId="77777777" w:rsidR="00DD0C6C" w:rsidRDefault="00000000">
            <w:pPr>
              <w:pStyle w:val="afffff5"/>
              <w:ind w:firstLineChars="0" w:firstLine="0"/>
              <w:jc w:val="center"/>
              <w:rPr>
                <w:rFonts w:hAnsi="宋体" w:hint="eastAsia"/>
                <w:sz w:val="18"/>
                <w:szCs w:val="18"/>
              </w:rPr>
            </w:pPr>
            <w:r>
              <w:rPr>
                <w:rFonts w:hAnsi="宋体" w:hint="eastAsia"/>
                <w:sz w:val="18"/>
                <w:szCs w:val="18"/>
              </w:rPr>
              <w:t>18</w:t>
            </w:r>
          </w:p>
        </w:tc>
      </w:tr>
      <w:tr w:rsidR="00DD0C6C" w14:paraId="0FC14C77" w14:textId="77777777">
        <w:trPr>
          <w:jc w:val="center"/>
        </w:trPr>
        <w:tc>
          <w:tcPr>
            <w:tcW w:w="942" w:type="dxa"/>
            <w:tcBorders>
              <w:top w:val="single" w:sz="4" w:space="0" w:color="auto"/>
              <w:left w:val="single" w:sz="4" w:space="0" w:color="auto"/>
              <w:bottom w:val="single" w:sz="4" w:space="0" w:color="auto"/>
              <w:right w:val="single" w:sz="4" w:space="0" w:color="auto"/>
            </w:tcBorders>
            <w:vAlign w:val="center"/>
          </w:tcPr>
          <w:p w14:paraId="25AF46E6" w14:textId="77777777" w:rsidR="00DD0C6C" w:rsidRDefault="00000000">
            <w:pPr>
              <w:pStyle w:val="afffff5"/>
              <w:ind w:firstLineChars="0" w:firstLine="0"/>
              <w:jc w:val="center"/>
              <w:rPr>
                <w:rFonts w:hAnsi="宋体" w:hint="eastAsia"/>
                <w:sz w:val="18"/>
                <w:szCs w:val="18"/>
              </w:rPr>
            </w:pPr>
            <w:r>
              <w:rPr>
                <w:rFonts w:hAnsi="宋体" w:hint="eastAsia"/>
                <w:sz w:val="18"/>
                <w:szCs w:val="18"/>
              </w:rPr>
              <w:t>32</w:t>
            </w:r>
          </w:p>
        </w:tc>
        <w:tc>
          <w:tcPr>
            <w:tcW w:w="923" w:type="dxa"/>
            <w:tcBorders>
              <w:top w:val="single" w:sz="4" w:space="0" w:color="auto"/>
              <w:left w:val="single" w:sz="4" w:space="0" w:color="auto"/>
              <w:bottom w:val="single" w:sz="4" w:space="0" w:color="auto"/>
              <w:right w:val="single" w:sz="4" w:space="0" w:color="auto"/>
            </w:tcBorders>
            <w:vAlign w:val="center"/>
          </w:tcPr>
          <w:p w14:paraId="503FB474" w14:textId="77777777" w:rsidR="00DD0C6C" w:rsidRDefault="00000000">
            <w:pPr>
              <w:pStyle w:val="afffff5"/>
              <w:ind w:firstLineChars="0" w:firstLine="0"/>
              <w:jc w:val="center"/>
              <w:rPr>
                <w:rFonts w:hAnsi="宋体" w:hint="eastAsia"/>
                <w:sz w:val="18"/>
                <w:szCs w:val="18"/>
              </w:rPr>
            </w:pPr>
            <w:r>
              <w:rPr>
                <w:rFonts w:hAnsi="宋体" w:hint="eastAsia"/>
                <w:sz w:val="18"/>
                <w:szCs w:val="18"/>
              </w:rPr>
              <w:t>281</w:t>
            </w:r>
          </w:p>
        </w:tc>
        <w:tc>
          <w:tcPr>
            <w:tcW w:w="936" w:type="dxa"/>
            <w:tcBorders>
              <w:top w:val="single" w:sz="4" w:space="0" w:color="auto"/>
              <w:left w:val="single" w:sz="4" w:space="0" w:color="auto"/>
              <w:bottom w:val="single" w:sz="4" w:space="0" w:color="auto"/>
              <w:right w:val="single" w:sz="4" w:space="0" w:color="auto"/>
            </w:tcBorders>
            <w:vAlign w:val="center"/>
          </w:tcPr>
          <w:p w14:paraId="36FAAA3F" w14:textId="77777777" w:rsidR="00DD0C6C" w:rsidRDefault="00000000">
            <w:pPr>
              <w:pStyle w:val="afffff5"/>
              <w:ind w:firstLineChars="0" w:firstLine="0"/>
              <w:jc w:val="center"/>
              <w:rPr>
                <w:rFonts w:hAnsi="宋体" w:hint="eastAsia"/>
                <w:sz w:val="18"/>
                <w:szCs w:val="18"/>
              </w:rPr>
            </w:pPr>
            <w:r>
              <w:rPr>
                <w:rFonts w:hAnsi="宋体" w:hint="eastAsia"/>
                <w:sz w:val="18"/>
                <w:szCs w:val="18"/>
              </w:rPr>
              <w:t>7.0</w:t>
            </w:r>
          </w:p>
        </w:tc>
        <w:tc>
          <w:tcPr>
            <w:tcW w:w="949" w:type="dxa"/>
            <w:tcBorders>
              <w:top w:val="single" w:sz="4" w:space="0" w:color="auto"/>
              <w:left w:val="single" w:sz="4" w:space="0" w:color="auto"/>
              <w:bottom w:val="single" w:sz="4" w:space="0" w:color="auto"/>
              <w:right w:val="single" w:sz="4" w:space="0" w:color="auto"/>
            </w:tcBorders>
            <w:vAlign w:val="center"/>
          </w:tcPr>
          <w:p w14:paraId="49620023" w14:textId="77777777" w:rsidR="00DD0C6C" w:rsidRDefault="00000000">
            <w:pPr>
              <w:pStyle w:val="afffff5"/>
              <w:ind w:firstLineChars="0" w:firstLine="0"/>
              <w:jc w:val="center"/>
              <w:rPr>
                <w:rFonts w:hAnsi="宋体" w:hint="eastAsia"/>
                <w:sz w:val="18"/>
                <w:szCs w:val="18"/>
              </w:rPr>
            </w:pPr>
            <w:r>
              <w:rPr>
                <w:rFonts w:hAnsi="宋体" w:hint="eastAsia"/>
                <w:sz w:val="18"/>
                <w:szCs w:val="18"/>
              </w:rPr>
              <w:t>4.68</w:t>
            </w:r>
          </w:p>
        </w:tc>
        <w:tc>
          <w:tcPr>
            <w:tcW w:w="936" w:type="dxa"/>
            <w:tcBorders>
              <w:top w:val="single" w:sz="4" w:space="0" w:color="auto"/>
              <w:left w:val="single" w:sz="4" w:space="0" w:color="auto"/>
              <w:bottom w:val="single" w:sz="4" w:space="0" w:color="auto"/>
              <w:right w:val="single" w:sz="4" w:space="0" w:color="auto"/>
            </w:tcBorders>
            <w:vAlign w:val="center"/>
          </w:tcPr>
          <w:p w14:paraId="4FAC22F8" w14:textId="77777777" w:rsidR="00DD0C6C" w:rsidRDefault="00000000">
            <w:pPr>
              <w:pStyle w:val="afffff5"/>
              <w:ind w:firstLineChars="0" w:firstLine="0"/>
              <w:jc w:val="center"/>
              <w:rPr>
                <w:rFonts w:hAnsi="宋体" w:hint="eastAsia"/>
                <w:sz w:val="18"/>
                <w:szCs w:val="18"/>
              </w:rPr>
            </w:pPr>
            <w:r>
              <w:rPr>
                <w:rFonts w:hAnsi="宋体" w:hint="eastAsia"/>
                <w:sz w:val="18"/>
                <w:szCs w:val="18"/>
              </w:rPr>
              <w:t>7.5</w:t>
            </w:r>
          </w:p>
        </w:tc>
        <w:tc>
          <w:tcPr>
            <w:tcW w:w="949" w:type="dxa"/>
            <w:tcBorders>
              <w:top w:val="single" w:sz="4" w:space="0" w:color="auto"/>
              <w:left w:val="single" w:sz="4" w:space="0" w:color="auto"/>
              <w:bottom w:val="single" w:sz="4" w:space="0" w:color="auto"/>
              <w:right w:val="single" w:sz="4" w:space="0" w:color="auto"/>
            </w:tcBorders>
            <w:vAlign w:val="center"/>
          </w:tcPr>
          <w:p w14:paraId="19C65F49" w14:textId="77777777" w:rsidR="00DD0C6C" w:rsidRDefault="00000000">
            <w:pPr>
              <w:pStyle w:val="afffff5"/>
              <w:ind w:firstLineChars="0" w:firstLine="0"/>
              <w:jc w:val="center"/>
              <w:rPr>
                <w:rFonts w:hAnsi="宋体" w:hint="eastAsia"/>
                <w:sz w:val="18"/>
                <w:szCs w:val="18"/>
              </w:rPr>
            </w:pPr>
            <w:r>
              <w:rPr>
                <w:rFonts w:hAnsi="宋体" w:hint="eastAsia"/>
                <w:sz w:val="18"/>
                <w:szCs w:val="18"/>
              </w:rPr>
              <w:t>6.88</w:t>
            </w:r>
          </w:p>
        </w:tc>
        <w:tc>
          <w:tcPr>
            <w:tcW w:w="936" w:type="dxa"/>
            <w:tcBorders>
              <w:top w:val="single" w:sz="4" w:space="0" w:color="auto"/>
              <w:left w:val="single" w:sz="4" w:space="0" w:color="auto"/>
              <w:bottom w:val="single" w:sz="4" w:space="0" w:color="auto"/>
              <w:right w:val="single" w:sz="4" w:space="0" w:color="auto"/>
            </w:tcBorders>
            <w:vAlign w:val="center"/>
          </w:tcPr>
          <w:p w14:paraId="6A42292A" w14:textId="77777777" w:rsidR="00DD0C6C" w:rsidRDefault="00000000">
            <w:pPr>
              <w:pStyle w:val="afffff5"/>
              <w:ind w:firstLineChars="0" w:firstLine="0"/>
              <w:jc w:val="center"/>
              <w:rPr>
                <w:rFonts w:hAnsi="宋体" w:hint="eastAsia"/>
                <w:sz w:val="18"/>
                <w:szCs w:val="18"/>
              </w:rPr>
            </w:pPr>
            <w:r>
              <w:rPr>
                <w:rFonts w:hAnsi="宋体" w:hint="eastAsia"/>
                <w:sz w:val="18"/>
                <w:szCs w:val="18"/>
              </w:rPr>
              <w:t>7.5</w:t>
            </w:r>
          </w:p>
        </w:tc>
        <w:tc>
          <w:tcPr>
            <w:tcW w:w="949" w:type="dxa"/>
            <w:tcBorders>
              <w:top w:val="single" w:sz="4" w:space="0" w:color="auto"/>
              <w:left w:val="single" w:sz="4" w:space="0" w:color="auto"/>
              <w:bottom w:val="single" w:sz="4" w:space="0" w:color="auto"/>
              <w:right w:val="single" w:sz="4" w:space="0" w:color="auto"/>
            </w:tcBorders>
            <w:vAlign w:val="center"/>
          </w:tcPr>
          <w:p w14:paraId="07323290" w14:textId="77777777" w:rsidR="00DD0C6C" w:rsidRDefault="00000000">
            <w:pPr>
              <w:pStyle w:val="afffff5"/>
              <w:ind w:firstLineChars="0" w:firstLine="0"/>
              <w:jc w:val="center"/>
              <w:rPr>
                <w:rFonts w:hAnsi="宋体" w:hint="eastAsia"/>
                <w:sz w:val="18"/>
                <w:szCs w:val="18"/>
              </w:rPr>
            </w:pPr>
            <w:r>
              <w:rPr>
                <w:rFonts w:hAnsi="宋体" w:hint="eastAsia"/>
                <w:sz w:val="18"/>
                <w:szCs w:val="18"/>
              </w:rPr>
              <w:t>11.8</w:t>
            </w:r>
          </w:p>
        </w:tc>
        <w:tc>
          <w:tcPr>
            <w:tcW w:w="1824" w:type="dxa"/>
            <w:tcBorders>
              <w:top w:val="single" w:sz="4" w:space="0" w:color="auto"/>
              <w:left w:val="single" w:sz="4" w:space="0" w:color="auto"/>
              <w:bottom w:val="single" w:sz="4" w:space="0" w:color="auto"/>
              <w:right w:val="single" w:sz="4" w:space="0" w:color="auto"/>
            </w:tcBorders>
            <w:vAlign w:val="center"/>
          </w:tcPr>
          <w:p w14:paraId="2BCA6CEB" w14:textId="77777777" w:rsidR="00DD0C6C" w:rsidRDefault="00000000">
            <w:pPr>
              <w:pStyle w:val="afffff5"/>
              <w:ind w:firstLineChars="0" w:firstLine="0"/>
              <w:jc w:val="center"/>
              <w:rPr>
                <w:rFonts w:hAnsi="宋体" w:hint="eastAsia"/>
                <w:sz w:val="18"/>
                <w:szCs w:val="18"/>
              </w:rPr>
            </w:pPr>
            <w:r>
              <w:rPr>
                <w:rFonts w:hAnsi="宋体" w:hint="eastAsia"/>
                <w:sz w:val="18"/>
                <w:szCs w:val="18"/>
              </w:rPr>
              <w:t>18</w:t>
            </w:r>
          </w:p>
        </w:tc>
      </w:tr>
      <w:tr w:rsidR="00DD0C6C" w14:paraId="3944BDED" w14:textId="77777777">
        <w:trPr>
          <w:jc w:val="center"/>
        </w:trPr>
        <w:tc>
          <w:tcPr>
            <w:tcW w:w="942" w:type="dxa"/>
            <w:tcBorders>
              <w:top w:val="single" w:sz="4" w:space="0" w:color="auto"/>
              <w:left w:val="single" w:sz="4" w:space="0" w:color="auto"/>
              <w:bottom w:val="single" w:sz="4" w:space="0" w:color="auto"/>
              <w:right w:val="single" w:sz="4" w:space="0" w:color="auto"/>
            </w:tcBorders>
            <w:vAlign w:val="center"/>
          </w:tcPr>
          <w:p w14:paraId="059F2396" w14:textId="77777777" w:rsidR="00DD0C6C" w:rsidRDefault="00000000">
            <w:pPr>
              <w:pStyle w:val="afffff5"/>
              <w:ind w:firstLineChars="0" w:firstLine="0"/>
              <w:jc w:val="center"/>
              <w:rPr>
                <w:rFonts w:hAnsi="宋体" w:hint="eastAsia"/>
                <w:sz w:val="18"/>
                <w:szCs w:val="18"/>
              </w:rPr>
            </w:pPr>
            <w:r>
              <w:rPr>
                <w:rFonts w:hAnsi="宋体" w:hint="eastAsia"/>
                <w:sz w:val="18"/>
                <w:szCs w:val="18"/>
              </w:rPr>
              <w:t>40</w:t>
            </w:r>
          </w:p>
        </w:tc>
        <w:tc>
          <w:tcPr>
            <w:tcW w:w="923" w:type="dxa"/>
            <w:tcBorders>
              <w:top w:val="single" w:sz="4" w:space="0" w:color="auto"/>
              <w:left w:val="single" w:sz="4" w:space="0" w:color="auto"/>
              <w:bottom w:val="single" w:sz="4" w:space="0" w:color="auto"/>
              <w:right w:val="single" w:sz="4" w:space="0" w:color="auto"/>
            </w:tcBorders>
            <w:vAlign w:val="center"/>
          </w:tcPr>
          <w:p w14:paraId="4524E75E" w14:textId="77777777" w:rsidR="00DD0C6C" w:rsidRDefault="00000000">
            <w:pPr>
              <w:pStyle w:val="afffff5"/>
              <w:ind w:firstLineChars="0" w:firstLine="0"/>
              <w:jc w:val="center"/>
              <w:rPr>
                <w:rFonts w:hAnsi="宋体" w:hint="eastAsia"/>
                <w:sz w:val="18"/>
                <w:szCs w:val="18"/>
              </w:rPr>
            </w:pPr>
            <w:r>
              <w:rPr>
                <w:rFonts w:hAnsi="宋体" w:hint="eastAsia"/>
                <w:sz w:val="18"/>
                <w:szCs w:val="18"/>
              </w:rPr>
              <w:t>360</w:t>
            </w:r>
          </w:p>
        </w:tc>
        <w:tc>
          <w:tcPr>
            <w:tcW w:w="936" w:type="dxa"/>
            <w:tcBorders>
              <w:top w:val="single" w:sz="4" w:space="0" w:color="auto"/>
              <w:left w:val="single" w:sz="4" w:space="0" w:color="auto"/>
              <w:bottom w:val="single" w:sz="4" w:space="0" w:color="auto"/>
              <w:right w:val="single" w:sz="4" w:space="0" w:color="auto"/>
            </w:tcBorders>
            <w:vAlign w:val="center"/>
          </w:tcPr>
          <w:p w14:paraId="33CCCBA1" w14:textId="77777777" w:rsidR="00DD0C6C" w:rsidRDefault="00000000">
            <w:pPr>
              <w:pStyle w:val="afffff5"/>
              <w:ind w:firstLineChars="0" w:firstLine="0"/>
              <w:jc w:val="center"/>
              <w:rPr>
                <w:rFonts w:hAnsi="宋体" w:hint="eastAsia"/>
                <w:sz w:val="18"/>
                <w:szCs w:val="18"/>
              </w:rPr>
            </w:pPr>
            <w:r>
              <w:rPr>
                <w:rFonts w:hAnsi="宋体" w:hint="eastAsia"/>
                <w:sz w:val="18"/>
                <w:szCs w:val="18"/>
              </w:rPr>
              <w:t>7.0</w:t>
            </w:r>
          </w:p>
        </w:tc>
        <w:tc>
          <w:tcPr>
            <w:tcW w:w="949" w:type="dxa"/>
            <w:tcBorders>
              <w:top w:val="single" w:sz="4" w:space="0" w:color="auto"/>
              <w:left w:val="single" w:sz="4" w:space="0" w:color="auto"/>
              <w:bottom w:val="single" w:sz="4" w:space="0" w:color="auto"/>
              <w:right w:val="single" w:sz="4" w:space="0" w:color="auto"/>
            </w:tcBorders>
            <w:vAlign w:val="center"/>
          </w:tcPr>
          <w:p w14:paraId="52ACA818" w14:textId="77777777" w:rsidR="00DD0C6C" w:rsidRDefault="00000000">
            <w:pPr>
              <w:pStyle w:val="afffff5"/>
              <w:ind w:firstLineChars="0" w:firstLine="0"/>
              <w:jc w:val="center"/>
              <w:rPr>
                <w:rFonts w:hAnsi="宋体" w:hint="eastAsia"/>
                <w:sz w:val="18"/>
                <w:szCs w:val="18"/>
              </w:rPr>
            </w:pPr>
            <w:r>
              <w:rPr>
                <w:rFonts w:hAnsi="宋体" w:hint="eastAsia"/>
                <w:sz w:val="18"/>
                <w:szCs w:val="18"/>
              </w:rPr>
              <w:t>6.0</w:t>
            </w:r>
          </w:p>
        </w:tc>
        <w:tc>
          <w:tcPr>
            <w:tcW w:w="936" w:type="dxa"/>
            <w:tcBorders>
              <w:top w:val="single" w:sz="4" w:space="0" w:color="auto"/>
              <w:left w:val="single" w:sz="4" w:space="0" w:color="auto"/>
              <w:bottom w:val="single" w:sz="4" w:space="0" w:color="auto"/>
              <w:right w:val="single" w:sz="4" w:space="0" w:color="auto"/>
            </w:tcBorders>
            <w:vAlign w:val="center"/>
          </w:tcPr>
          <w:p w14:paraId="44B97AEF" w14:textId="77777777" w:rsidR="00DD0C6C" w:rsidRDefault="00000000">
            <w:pPr>
              <w:pStyle w:val="afffff5"/>
              <w:ind w:firstLineChars="0" w:firstLine="0"/>
              <w:jc w:val="center"/>
              <w:rPr>
                <w:rFonts w:hAnsi="宋体" w:hint="eastAsia"/>
                <w:sz w:val="18"/>
                <w:szCs w:val="18"/>
              </w:rPr>
            </w:pPr>
            <w:r>
              <w:rPr>
                <w:rFonts w:hAnsi="宋体" w:hint="eastAsia"/>
                <w:sz w:val="18"/>
                <w:szCs w:val="18"/>
              </w:rPr>
              <w:t>8.0</w:t>
            </w:r>
          </w:p>
        </w:tc>
        <w:tc>
          <w:tcPr>
            <w:tcW w:w="949" w:type="dxa"/>
            <w:tcBorders>
              <w:top w:val="single" w:sz="4" w:space="0" w:color="auto"/>
              <w:left w:val="single" w:sz="4" w:space="0" w:color="auto"/>
              <w:bottom w:val="single" w:sz="4" w:space="0" w:color="auto"/>
              <w:right w:val="single" w:sz="4" w:space="0" w:color="auto"/>
            </w:tcBorders>
            <w:vAlign w:val="center"/>
          </w:tcPr>
          <w:p w14:paraId="1AADF0FA" w14:textId="77777777" w:rsidR="00DD0C6C" w:rsidRDefault="00000000">
            <w:pPr>
              <w:pStyle w:val="afffff5"/>
              <w:ind w:firstLineChars="0" w:firstLine="0"/>
              <w:jc w:val="center"/>
              <w:rPr>
                <w:rFonts w:hAnsi="宋体" w:hint="eastAsia"/>
                <w:sz w:val="18"/>
                <w:szCs w:val="18"/>
              </w:rPr>
            </w:pPr>
            <w:r>
              <w:rPr>
                <w:rFonts w:hAnsi="宋体" w:hint="eastAsia"/>
                <w:sz w:val="18"/>
                <w:szCs w:val="18"/>
              </w:rPr>
              <w:t>8.82</w:t>
            </w:r>
          </w:p>
        </w:tc>
        <w:tc>
          <w:tcPr>
            <w:tcW w:w="936" w:type="dxa"/>
            <w:tcBorders>
              <w:top w:val="single" w:sz="4" w:space="0" w:color="auto"/>
              <w:left w:val="single" w:sz="4" w:space="0" w:color="auto"/>
              <w:bottom w:val="single" w:sz="4" w:space="0" w:color="auto"/>
              <w:right w:val="single" w:sz="4" w:space="0" w:color="auto"/>
            </w:tcBorders>
            <w:vAlign w:val="center"/>
          </w:tcPr>
          <w:p w14:paraId="1E026B9B" w14:textId="77777777" w:rsidR="00DD0C6C" w:rsidRDefault="00000000">
            <w:pPr>
              <w:pStyle w:val="afffff5"/>
              <w:ind w:firstLineChars="0" w:firstLine="0"/>
              <w:jc w:val="center"/>
              <w:rPr>
                <w:rFonts w:hAnsi="宋体" w:hint="eastAsia"/>
                <w:sz w:val="18"/>
                <w:szCs w:val="18"/>
              </w:rPr>
            </w:pPr>
            <w:r>
              <w:rPr>
                <w:rFonts w:hAnsi="宋体" w:hint="eastAsia"/>
                <w:sz w:val="18"/>
                <w:szCs w:val="18"/>
              </w:rPr>
              <w:t>9.0</w:t>
            </w:r>
          </w:p>
        </w:tc>
        <w:tc>
          <w:tcPr>
            <w:tcW w:w="949" w:type="dxa"/>
            <w:tcBorders>
              <w:top w:val="single" w:sz="4" w:space="0" w:color="auto"/>
              <w:left w:val="single" w:sz="4" w:space="0" w:color="auto"/>
              <w:bottom w:val="single" w:sz="4" w:space="0" w:color="auto"/>
              <w:right w:val="single" w:sz="4" w:space="0" w:color="auto"/>
            </w:tcBorders>
            <w:vAlign w:val="center"/>
          </w:tcPr>
          <w:p w14:paraId="5DE6E968" w14:textId="77777777" w:rsidR="00DD0C6C" w:rsidRDefault="00000000">
            <w:pPr>
              <w:pStyle w:val="afffff5"/>
              <w:ind w:firstLineChars="0" w:firstLine="0"/>
              <w:jc w:val="center"/>
              <w:rPr>
                <w:rFonts w:hAnsi="宋体" w:hint="eastAsia"/>
                <w:sz w:val="18"/>
                <w:szCs w:val="18"/>
              </w:rPr>
            </w:pPr>
            <w:r>
              <w:rPr>
                <w:rFonts w:hAnsi="宋体" w:hint="eastAsia"/>
                <w:sz w:val="18"/>
                <w:szCs w:val="18"/>
              </w:rPr>
              <w:t>15.1</w:t>
            </w:r>
          </w:p>
        </w:tc>
        <w:tc>
          <w:tcPr>
            <w:tcW w:w="1824" w:type="dxa"/>
            <w:tcBorders>
              <w:top w:val="single" w:sz="4" w:space="0" w:color="auto"/>
              <w:left w:val="single" w:sz="4" w:space="0" w:color="auto"/>
              <w:bottom w:val="single" w:sz="4" w:space="0" w:color="auto"/>
              <w:right w:val="single" w:sz="4" w:space="0" w:color="auto"/>
            </w:tcBorders>
            <w:vAlign w:val="center"/>
          </w:tcPr>
          <w:p w14:paraId="7E951B49" w14:textId="77777777" w:rsidR="00DD0C6C" w:rsidRDefault="00000000">
            <w:pPr>
              <w:pStyle w:val="afffff5"/>
              <w:ind w:firstLineChars="0" w:firstLine="0"/>
              <w:jc w:val="center"/>
              <w:rPr>
                <w:rFonts w:hAnsi="宋体" w:hint="eastAsia"/>
                <w:sz w:val="18"/>
                <w:szCs w:val="18"/>
              </w:rPr>
            </w:pPr>
            <w:r>
              <w:rPr>
                <w:rFonts w:hAnsi="宋体" w:hint="eastAsia"/>
                <w:sz w:val="18"/>
                <w:szCs w:val="18"/>
              </w:rPr>
              <w:t>18</w:t>
            </w:r>
          </w:p>
        </w:tc>
      </w:tr>
      <w:tr w:rsidR="00DD0C6C" w14:paraId="5FCA9C9F" w14:textId="77777777">
        <w:trPr>
          <w:jc w:val="center"/>
        </w:trPr>
        <w:tc>
          <w:tcPr>
            <w:tcW w:w="9344" w:type="dxa"/>
            <w:gridSpan w:val="9"/>
            <w:tcBorders>
              <w:top w:val="single" w:sz="4" w:space="0" w:color="auto"/>
              <w:left w:val="single" w:sz="4" w:space="0" w:color="auto"/>
              <w:bottom w:val="single" w:sz="4" w:space="0" w:color="auto"/>
              <w:right w:val="single" w:sz="4" w:space="0" w:color="auto"/>
            </w:tcBorders>
            <w:vAlign w:val="center"/>
          </w:tcPr>
          <w:p w14:paraId="1D36F10F" w14:textId="77777777" w:rsidR="00DD0C6C" w:rsidRDefault="00000000">
            <w:pPr>
              <w:pStyle w:val="afffff5"/>
              <w:ind w:firstLineChars="0" w:firstLine="0"/>
              <w:rPr>
                <w:rFonts w:hAnsi="宋体" w:hint="eastAsia"/>
                <w:sz w:val="18"/>
                <w:szCs w:val="18"/>
              </w:rPr>
            </w:pPr>
            <w:r>
              <w:rPr>
                <w:rFonts w:hAnsi="宋体" w:hint="eastAsia"/>
                <w:sz w:val="18"/>
                <w:szCs w:val="18"/>
              </w:rPr>
              <w:t>其中：DN-进水管的直径；K—流量系数；P—工作压力（MPa）；R-保护半径（m）；q-流量（L/s）。</w:t>
            </w:r>
          </w:p>
        </w:tc>
      </w:tr>
    </w:tbl>
    <w:p w14:paraId="7AE7673C" w14:textId="77777777" w:rsidR="00DD0C6C" w:rsidRDefault="00000000">
      <w:pPr>
        <w:pStyle w:val="affc"/>
        <w:spacing w:before="240" w:after="240"/>
      </w:pPr>
      <w:bookmarkStart w:id="56" w:name="_Toc188367477"/>
      <w:bookmarkStart w:id="57" w:name="_Toc191302741"/>
      <w:bookmarkStart w:id="58" w:name="_Toc185859279"/>
      <w:r>
        <w:rPr>
          <w:rFonts w:hint="eastAsia"/>
        </w:rPr>
        <w:t>技术要求</w:t>
      </w:r>
      <w:bookmarkEnd w:id="56"/>
      <w:bookmarkEnd w:id="57"/>
      <w:bookmarkEnd w:id="58"/>
    </w:p>
    <w:p w14:paraId="1A706315" w14:textId="77777777" w:rsidR="00DD0C6C" w:rsidRDefault="00000000">
      <w:pPr>
        <w:pStyle w:val="affffffffe"/>
      </w:pPr>
      <w:r>
        <w:rPr>
          <w:rFonts w:hint="eastAsia"/>
        </w:rPr>
        <w:t>灭火装置外表应无腐蚀、起泡、剥落现象，无明显划痕等机械损伤，紧固部位无松动，启动回转和停止灵活。</w:t>
      </w:r>
    </w:p>
    <w:p w14:paraId="6495E0E3" w14:textId="77777777" w:rsidR="00DD0C6C" w:rsidRDefault="00000000">
      <w:pPr>
        <w:pStyle w:val="affffffffe"/>
      </w:pPr>
      <w:r>
        <w:rPr>
          <w:rFonts w:hint="eastAsia"/>
        </w:rPr>
        <w:t>灭火装置密封性能按升压至0.9MPa，在升压和保压过程中应无渗漏。</w:t>
      </w:r>
    </w:p>
    <w:p w14:paraId="64E15082" w14:textId="77777777" w:rsidR="00DD0C6C" w:rsidRDefault="00000000">
      <w:pPr>
        <w:pStyle w:val="affffffffe"/>
      </w:pPr>
      <w:r>
        <w:rPr>
          <w:rFonts w:hint="eastAsia"/>
        </w:rPr>
        <w:lastRenderedPageBreak/>
        <w:t>灭火装置应具有抗振动性能，当按8.4条进行振动试验后，灭火装置应不产生脱落、裂纹及明显变形并能可靠使用，性能参数应符合表1的规定。</w:t>
      </w:r>
    </w:p>
    <w:p w14:paraId="32DA8895" w14:textId="77777777" w:rsidR="00DD0C6C" w:rsidRDefault="00000000">
      <w:pPr>
        <w:pStyle w:val="affffffffe"/>
      </w:pPr>
      <w:r>
        <w:rPr>
          <w:rFonts w:hint="eastAsia"/>
        </w:rPr>
        <w:t>灭火装置应具有抗机械冲击性能，按8.5条进行试验后，喷头应无损坏，并能可靠使用，性能参数符合表1的规定。</w:t>
      </w:r>
    </w:p>
    <w:p w14:paraId="04B6918D" w14:textId="77777777" w:rsidR="00DD0C6C" w:rsidRDefault="00000000">
      <w:pPr>
        <w:pStyle w:val="affffffffe"/>
      </w:pPr>
      <w:r>
        <w:rPr>
          <w:rFonts w:hint="eastAsia"/>
        </w:rPr>
        <w:t>灭火装置应具有耐低温性能，按8.6条进行低温试验后，喷头不应有破坏涂覆层和腐蚀现象并能可靠使用，性能参数应符合表1的规定。</w:t>
      </w:r>
    </w:p>
    <w:p w14:paraId="6AFA8465" w14:textId="77777777" w:rsidR="00DD0C6C" w:rsidRDefault="00000000">
      <w:pPr>
        <w:pStyle w:val="affffffffe"/>
      </w:pPr>
      <w:r>
        <w:rPr>
          <w:rFonts w:hint="eastAsia"/>
        </w:rPr>
        <w:t>灭火装置耐高温性能，按8.7条进行高温试验后，喷头不应有破坏涂覆层和腐蚀现象并能可靠使用，性能参数应符合表1的规定。</w:t>
      </w:r>
    </w:p>
    <w:p w14:paraId="27B5FD0C" w14:textId="77777777" w:rsidR="00DD0C6C" w:rsidRDefault="00000000">
      <w:pPr>
        <w:pStyle w:val="affffffffe"/>
      </w:pPr>
      <w:r>
        <w:rPr>
          <w:rFonts w:hint="eastAsia"/>
        </w:rPr>
        <w:t>灭火装置喷头应选用耐腐蚀或经防腐处理的材料。</w:t>
      </w:r>
    </w:p>
    <w:p w14:paraId="0BB96DA2" w14:textId="77777777" w:rsidR="00DD0C6C" w:rsidRDefault="00000000">
      <w:pPr>
        <w:pStyle w:val="affffffffe"/>
      </w:pPr>
      <w:r>
        <w:rPr>
          <w:rFonts w:hint="eastAsia"/>
        </w:rPr>
        <w:t>闭式灭火装置下垂吊装安装，按8.9条进行灭火试验。应符合自点火起计算100s内</w:t>
      </w:r>
      <w:r>
        <w:rPr>
          <w:rFonts w:hint="eastAsia"/>
          <w:color w:val="FF0000"/>
        </w:rPr>
        <w:t>热敏感元件</w:t>
      </w:r>
      <w:r>
        <w:rPr>
          <w:rFonts w:hint="eastAsia"/>
        </w:rPr>
        <w:t>爆破的要求。</w:t>
      </w:r>
    </w:p>
    <w:p w14:paraId="63AFA323" w14:textId="77777777" w:rsidR="00DD0C6C" w:rsidRDefault="00000000">
      <w:pPr>
        <w:pStyle w:val="affc"/>
        <w:spacing w:before="240" w:after="240"/>
      </w:pPr>
      <w:bookmarkStart w:id="59" w:name="_Toc191302742"/>
      <w:bookmarkStart w:id="60" w:name="_Toc188367478"/>
      <w:bookmarkStart w:id="61" w:name="_Toc185859280"/>
      <w:r>
        <w:rPr>
          <w:rFonts w:hint="eastAsia"/>
        </w:rPr>
        <w:t>试验方法</w:t>
      </w:r>
      <w:bookmarkEnd w:id="59"/>
      <w:bookmarkEnd w:id="60"/>
      <w:bookmarkEnd w:id="61"/>
    </w:p>
    <w:p w14:paraId="641253E6" w14:textId="77777777" w:rsidR="00DD0C6C" w:rsidRDefault="00000000">
      <w:pPr>
        <w:pStyle w:val="affd"/>
        <w:spacing w:before="120" w:after="120"/>
      </w:pPr>
      <w:r>
        <w:rPr>
          <w:rFonts w:hint="eastAsia"/>
        </w:rPr>
        <w:t>密封试验</w:t>
      </w:r>
    </w:p>
    <w:p w14:paraId="2E2984C2" w14:textId="77777777" w:rsidR="00DD0C6C" w:rsidRDefault="00000000">
      <w:pPr>
        <w:pStyle w:val="afffff5"/>
        <w:ind w:firstLine="420"/>
      </w:pPr>
      <w:r>
        <w:rPr>
          <w:rFonts w:hint="eastAsia"/>
        </w:rPr>
        <w:t>将喷头试样安装在试验装置上，使管路充满清水，排除管路中的空气，以（0.1±0.025）MPa/s的速率升压至0.9MPa，保持压力30min，试验过程应无渗漏现象。</w:t>
      </w:r>
    </w:p>
    <w:p w14:paraId="09D6D707" w14:textId="77777777" w:rsidR="00DD0C6C" w:rsidRDefault="00000000">
      <w:pPr>
        <w:pStyle w:val="affd"/>
        <w:spacing w:before="120" w:after="120"/>
      </w:pPr>
      <w:r>
        <w:rPr>
          <w:rFonts w:hint="eastAsia"/>
        </w:rPr>
        <w:t>启动时间试验</w:t>
      </w:r>
    </w:p>
    <w:p w14:paraId="1203E523" w14:textId="77777777" w:rsidR="00DD0C6C" w:rsidRDefault="00000000">
      <w:pPr>
        <w:pStyle w:val="afffff5"/>
        <w:ind w:firstLine="420"/>
      </w:pPr>
      <w:r>
        <w:rPr>
          <w:rFonts w:hint="eastAsia"/>
        </w:rPr>
        <w:t>灭火装置型号不限，实验室（无天花板）的尺寸8m</w:t>
      </w:r>
      <w:r>
        <w:rPr>
          <w:rFonts w:hAnsi="宋体" w:hint="eastAsia"/>
        </w:rPr>
        <w:t>×</w:t>
      </w:r>
      <w:r>
        <w:rPr>
          <w:rFonts w:hint="eastAsia"/>
        </w:rPr>
        <w:t>8m（长</w:t>
      </w:r>
      <w:r>
        <w:rPr>
          <w:rFonts w:hAnsi="宋体" w:hint="eastAsia"/>
        </w:rPr>
        <w:t>×宽</w:t>
      </w:r>
      <w:r>
        <w:rPr>
          <w:rFonts w:hint="eastAsia"/>
        </w:rPr>
        <w:t>），将灭火装置按图4的要求进行安装好后进行启动时间试验，在灭火装置下方引燃2A级别火的同时启动秒表，2A级别火的布置应符合GB 5135.1-2019中7.31.1.1的要求，当热敏感元件动作时秒表指示时间即为灭火装置启动时间。</w:t>
      </w:r>
    </w:p>
    <w:p w14:paraId="3A7A2F08" w14:textId="77777777" w:rsidR="00DD0C6C" w:rsidRDefault="00000000">
      <w:pPr>
        <w:pStyle w:val="affd"/>
        <w:spacing w:before="120" w:after="120"/>
      </w:pPr>
      <w:r>
        <w:rPr>
          <w:rFonts w:hint="eastAsia"/>
        </w:rPr>
        <w:t>灭火装置抗振动性能试验</w:t>
      </w:r>
    </w:p>
    <w:p w14:paraId="7C6B0C09" w14:textId="77777777" w:rsidR="00DD0C6C" w:rsidRDefault="00000000">
      <w:pPr>
        <w:pStyle w:val="afffff5"/>
        <w:ind w:firstLine="420"/>
      </w:pPr>
      <w:r>
        <w:rPr>
          <w:rFonts w:hint="eastAsia"/>
        </w:rPr>
        <w:t>将灭火装置固定在振动台的夹具中，按表2的参数进行振动（正弦）试验，振动试验后应符合7.3条的规定。</w:t>
      </w:r>
    </w:p>
    <w:p w14:paraId="31B9B613" w14:textId="77777777" w:rsidR="00DD0C6C" w:rsidRDefault="00000000">
      <w:pPr>
        <w:pStyle w:val="aff2"/>
        <w:spacing w:before="120" w:after="120"/>
      </w:pPr>
      <w:r>
        <w:rPr>
          <w:rFonts w:hint="eastAsia"/>
        </w:rPr>
        <w:t>振动试验条件参数</w:t>
      </w:r>
    </w:p>
    <w:tbl>
      <w:tblPr>
        <w:tblStyle w:val="affff7"/>
        <w:tblW w:w="0" w:type="auto"/>
        <w:jc w:val="center"/>
        <w:tblLook w:val="04A0" w:firstRow="1" w:lastRow="0" w:firstColumn="1" w:lastColumn="0" w:noHBand="0" w:noVBand="1"/>
      </w:tblPr>
      <w:tblGrid>
        <w:gridCol w:w="3403"/>
        <w:gridCol w:w="3396"/>
      </w:tblGrid>
      <w:tr w:rsidR="00DD0C6C" w14:paraId="2BF83A7A" w14:textId="77777777">
        <w:trPr>
          <w:jc w:val="center"/>
        </w:trPr>
        <w:tc>
          <w:tcPr>
            <w:tcW w:w="3403" w:type="dxa"/>
            <w:vAlign w:val="center"/>
          </w:tcPr>
          <w:p w14:paraId="3C8AB3AB" w14:textId="77777777" w:rsidR="00DD0C6C" w:rsidRDefault="00000000">
            <w:pPr>
              <w:pStyle w:val="afffff5"/>
              <w:ind w:firstLineChars="0" w:firstLine="0"/>
              <w:jc w:val="center"/>
              <w:rPr>
                <w:sz w:val="18"/>
                <w:szCs w:val="18"/>
              </w:rPr>
            </w:pPr>
            <w:r>
              <w:rPr>
                <w:rFonts w:hint="eastAsia"/>
                <w:sz w:val="18"/>
                <w:szCs w:val="18"/>
              </w:rPr>
              <w:t>频率循环范围</w:t>
            </w:r>
          </w:p>
        </w:tc>
        <w:tc>
          <w:tcPr>
            <w:tcW w:w="3396" w:type="dxa"/>
            <w:vAlign w:val="center"/>
          </w:tcPr>
          <w:p w14:paraId="301B8CE0" w14:textId="77777777" w:rsidR="00DD0C6C" w:rsidRDefault="00000000">
            <w:pPr>
              <w:pStyle w:val="afffff5"/>
              <w:ind w:firstLineChars="0" w:firstLine="0"/>
              <w:jc w:val="center"/>
              <w:rPr>
                <w:sz w:val="18"/>
                <w:szCs w:val="18"/>
              </w:rPr>
            </w:pPr>
            <w:r>
              <w:rPr>
                <w:sz w:val="18"/>
                <w:szCs w:val="18"/>
              </w:rPr>
              <w:t>10</w:t>
            </w:r>
            <w:r>
              <w:rPr>
                <w:rFonts w:hAnsi="宋体" w:hint="eastAsia"/>
                <w:sz w:val="18"/>
                <w:szCs w:val="18"/>
              </w:rPr>
              <w:t>～</w:t>
            </w:r>
            <w:r>
              <w:rPr>
                <w:sz w:val="18"/>
                <w:szCs w:val="18"/>
              </w:rPr>
              <w:t>150</w:t>
            </w:r>
            <w:r>
              <w:rPr>
                <w:rFonts w:hAnsi="宋体" w:hint="eastAsia"/>
                <w:sz w:val="18"/>
                <w:szCs w:val="18"/>
              </w:rPr>
              <w:t>～</w:t>
            </w:r>
            <w:r>
              <w:rPr>
                <w:sz w:val="18"/>
                <w:szCs w:val="18"/>
              </w:rPr>
              <w:t>10Hz</w:t>
            </w:r>
          </w:p>
        </w:tc>
      </w:tr>
      <w:tr w:rsidR="00DD0C6C" w14:paraId="3F515548" w14:textId="77777777">
        <w:trPr>
          <w:jc w:val="center"/>
        </w:trPr>
        <w:tc>
          <w:tcPr>
            <w:tcW w:w="3403" w:type="dxa"/>
            <w:vAlign w:val="center"/>
          </w:tcPr>
          <w:p w14:paraId="6CE830A3" w14:textId="77777777" w:rsidR="00DD0C6C" w:rsidRDefault="00000000">
            <w:pPr>
              <w:pStyle w:val="afffff5"/>
              <w:ind w:firstLine="360"/>
              <w:jc w:val="center"/>
              <w:rPr>
                <w:sz w:val="18"/>
                <w:szCs w:val="18"/>
              </w:rPr>
            </w:pPr>
            <w:r>
              <w:rPr>
                <w:rFonts w:hint="eastAsia"/>
                <w:sz w:val="18"/>
                <w:szCs w:val="18"/>
              </w:rPr>
              <w:t>驱动振幅（单振幅）</w:t>
            </w:r>
          </w:p>
        </w:tc>
        <w:tc>
          <w:tcPr>
            <w:tcW w:w="3396" w:type="dxa"/>
            <w:vAlign w:val="center"/>
          </w:tcPr>
          <w:p w14:paraId="229EC0A6" w14:textId="77777777" w:rsidR="00DD0C6C" w:rsidRDefault="00000000">
            <w:pPr>
              <w:pStyle w:val="afffff5"/>
              <w:ind w:firstLineChars="0" w:firstLine="0"/>
              <w:jc w:val="center"/>
              <w:rPr>
                <w:sz w:val="18"/>
                <w:szCs w:val="18"/>
              </w:rPr>
            </w:pPr>
            <w:r>
              <w:rPr>
                <w:sz w:val="18"/>
                <w:szCs w:val="18"/>
              </w:rPr>
              <w:t>0.19mm</w:t>
            </w:r>
          </w:p>
        </w:tc>
      </w:tr>
      <w:tr w:rsidR="00DD0C6C" w14:paraId="4C066290" w14:textId="77777777">
        <w:trPr>
          <w:jc w:val="center"/>
        </w:trPr>
        <w:tc>
          <w:tcPr>
            <w:tcW w:w="3403" w:type="dxa"/>
            <w:vAlign w:val="center"/>
          </w:tcPr>
          <w:p w14:paraId="2E416EBE" w14:textId="77777777" w:rsidR="00DD0C6C" w:rsidRDefault="00000000">
            <w:pPr>
              <w:pStyle w:val="afffff5"/>
              <w:ind w:firstLineChars="0" w:firstLine="0"/>
              <w:jc w:val="center"/>
              <w:rPr>
                <w:sz w:val="18"/>
                <w:szCs w:val="18"/>
              </w:rPr>
            </w:pPr>
            <w:r>
              <w:rPr>
                <w:rFonts w:hint="eastAsia"/>
                <w:sz w:val="18"/>
                <w:szCs w:val="18"/>
              </w:rPr>
              <w:t>扫描速率</w:t>
            </w:r>
          </w:p>
        </w:tc>
        <w:tc>
          <w:tcPr>
            <w:tcW w:w="3396" w:type="dxa"/>
            <w:vAlign w:val="center"/>
          </w:tcPr>
          <w:p w14:paraId="1F4242B8" w14:textId="77777777" w:rsidR="00DD0C6C" w:rsidRDefault="00000000">
            <w:pPr>
              <w:pStyle w:val="afffff5"/>
              <w:ind w:firstLineChars="0" w:firstLine="0"/>
              <w:jc w:val="center"/>
              <w:rPr>
                <w:sz w:val="18"/>
                <w:szCs w:val="18"/>
              </w:rPr>
            </w:pPr>
            <w:r>
              <w:rPr>
                <w:rFonts w:hint="eastAsia"/>
                <w:sz w:val="18"/>
                <w:szCs w:val="18"/>
              </w:rPr>
              <w:t>1倍频程/min</w:t>
            </w:r>
          </w:p>
        </w:tc>
      </w:tr>
      <w:tr w:rsidR="00DD0C6C" w14:paraId="735DB9DD" w14:textId="77777777">
        <w:trPr>
          <w:jc w:val="center"/>
        </w:trPr>
        <w:tc>
          <w:tcPr>
            <w:tcW w:w="3403" w:type="dxa"/>
            <w:vAlign w:val="center"/>
          </w:tcPr>
          <w:p w14:paraId="2C00005C" w14:textId="77777777" w:rsidR="00DD0C6C" w:rsidRDefault="00000000">
            <w:pPr>
              <w:pStyle w:val="afffff5"/>
              <w:ind w:firstLineChars="0" w:firstLine="0"/>
              <w:jc w:val="center"/>
              <w:rPr>
                <w:sz w:val="18"/>
                <w:szCs w:val="18"/>
              </w:rPr>
            </w:pPr>
            <w:r>
              <w:rPr>
                <w:rFonts w:hint="eastAsia"/>
                <w:sz w:val="18"/>
                <w:szCs w:val="18"/>
              </w:rPr>
              <w:t>共振点上保持时间</w:t>
            </w:r>
          </w:p>
        </w:tc>
        <w:tc>
          <w:tcPr>
            <w:tcW w:w="3396" w:type="dxa"/>
            <w:vAlign w:val="center"/>
          </w:tcPr>
          <w:p w14:paraId="171A9F4B" w14:textId="77777777" w:rsidR="00DD0C6C" w:rsidRDefault="00000000">
            <w:pPr>
              <w:pStyle w:val="afffff5"/>
              <w:ind w:firstLineChars="0" w:firstLine="0"/>
              <w:jc w:val="center"/>
              <w:rPr>
                <w:sz w:val="18"/>
                <w:szCs w:val="18"/>
              </w:rPr>
            </w:pPr>
            <w:r>
              <w:rPr>
                <w:sz w:val="18"/>
                <w:szCs w:val="18"/>
              </w:rPr>
              <w:t>10min</w:t>
            </w:r>
          </w:p>
        </w:tc>
      </w:tr>
      <w:tr w:rsidR="00DD0C6C" w14:paraId="2756F6EB" w14:textId="77777777">
        <w:trPr>
          <w:jc w:val="center"/>
        </w:trPr>
        <w:tc>
          <w:tcPr>
            <w:tcW w:w="3403" w:type="dxa"/>
            <w:vAlign w:val="center"/>
          </w:tcPr>
          <w:p w14:paraId="6DB04746" w14:textId="77777777" w:rsidR="00DD0C6C" w:rsidRDefault="00000000">
            <w:pPr>
              <w:pStyle w:val="afffff5"/>
              <w:ind w:firstLineChars="0" w:firstLine="0"/>
              <w:jc w:val="center"/>
              <w:rPr>
                <w:sz w:val="18"/>
                <w:szCs w:val="18"/>
              </w:rPr>
            </w:pPr>
            <w:r>
              <w:rPr>
                <w:rFonts w:hint="eastAsia"/>
                <w:sz w:val="18"/>
                <w:szCs w:val="18"/>
              </w:rPr>
              <w:t>共振点上驱动振幅</w:t>
            </w:r>
          </w:p>
        </w:tc>
        <w:tc>
          <w:tcPr>
            <w:tcW w:w="3396" w:type="dxa"/>
            <w:vAlign w:val="center"/>
          </w:tcPr>
          <w:p w14:paraId="1EAB292A" w14:textId="77777777" w:rsidR="00DD0C6C" w:rsidRDefault="00000000">
            <w:pPr>
              <w:pStyle w:val="afffff5"/>
              <w:ind w:firstLineChars="0" w:firstLine="0"/>
              <w:jc w:val="center"/>
              <w:rPr>
                <w:sz w:val="18"/>
                <w:szCs w:val="18"/>
              </w:rPr>
            </w:pPr>
            <w:r>
              <w:rPr>
                <w:sz w:val="18"/>
                <w:szCs w:val="18"/>
              </w:rPr>
              <w:t>0.19mm</w:t>
            </w:r>
          </w:p>
        </w:tc>
      </w:tr>
      <w:tr w:rsidR="00DD0C6C" w14:paraId="4D0EC22E" w14:textId="77777777">
        <w:trPr>
          <w:jc w:val="center"/>
        </w:trPr>
        <w:tc>
          <w:tcPr>
            <w:tcW w:w="3403" w:type="dxa"/>
            <w:vAlign w:val="center"/>
          </w:tcPr>
          <w:p w14:paraId="4E4B53DC" w14:textId="77777777" w:rsidR="00DD0C6C" w:rsidRDefault="00000000">
            <w:pPr>
              <w:pStyle w:val="afffff5"/>
              <w:ind w:firstLineChars="0" w:firstLine="0"/>
              <w:jc w:val="center"/>
              <w:rPr>
                <w:sz w:val="18"/>
                <w:szCs w:val="18"/>
              </w:rPr>
            </w:pPr>
            <w:r>
              <w:rPr>
                <w:rFonts w:hint="eastAsia"/>
                <w:sz w:val="18"/>
                <w:szCs w:val="18"/>
              </w:rPr>
              <w:t>振动方向</w:t>
            </w:r>
          </w:p>
        </w:tc>
        <w:tc>
          <w:tcPr>
            <w:tcW w:w="3396" w:type="dxa"/>
            <w:vAlign w:val="center"/>
          </w:tcPr>
          <w:p w14:paraId="3ADD0B7E" w14:textId="77777777" w:rsidR="00DD0C6C" w:rsidRDefault="00000000">
            <w:pPr>
              <w:pStyle w:val="afffff5"/>
              <w:ind w:firstLineChars="0" w:firstLine="0"/>
              <w:jc w:val="center"/>
              <w:rPr>
                <w:sz w:val="18"/>
                <w:szCs w:val="18"/>
              </w:rPr>
            </w:pPr>
            <w:r>
              <w:rPr>
                <w:rFonts w:hint="eastAsia"/>
                <w:sz w:val="18"/>
                <w:szCs w:val="18"/>
              </w:rPr>
              <w:t>X、Y、Z</w:t>
            </w:r>
          </w:p>
        </w:tc>
      </w:tr>
    </w:tbl>
    <w:p w14:paraId="4A3C3DA5" w14:textId="77777777" w:rsidR="00DD0C6C" w:rsidRDefault="00000000">
      <w:pPr>
        <w:pStyle w:val="affd"/>
        <w:spacing w:before="120" w:after="120"/>
      </w:pPr>
      <w:r>
        <w:rPr>
          <w:rFonts w:hint="eastAsia"/>
        </w:rPr>
        <w:t>灭火装置抗机械冲击性能试验</w:t>
      </w:r>
    </w:p>
    <w:p w14:paraId="0415C21B" w14:textId="77777777" w:rsidR="00DD0C6C" w:rsidRDefault="00000000">
      <w:pPr>
        <w:pStyle w:val="afffff5"/>
        <w:ind w:firstLine="420"/>
      </w:pPr>
      <w:r>
        <w:rPr>
          <w:rFonts w:hint="eastAsia"/>
        </w:rPr>
        <w:t>按喷头正常安装的正、反方向和垂直于两轭臂所在的平面的方向固定在机械冲击试验台上，冲击加速度为100g，在每一方向各进行3次冲击试验。试验后应符合7.4条的规定。</w:t>
      </w:r>
    </w:p>
    <w:p w14:paraId="51C42D25" w14:textId="77777777" w:rsidR="00DD0C6C" w:rsidRDefault="00000000">
      <w:pPr>
        <w:pStyle w:val="affd"/>
        <w:spacing w:before="120" w:after="120"/>
      </w:pPr>
      <w:r>
        <w:rPr>
          <w:rFonts w:hint="eastAsia"/>
        </w:rPr>
        <w:t>灭火装置低温试验</w:t>
      </w:r>
    </w:p>
    <w:p w14:paraId="6E04CC24" w14:textId="77777777" w:rsidR="00DD0C6C" w:rsidRDefault="00000000">
      <w:pPr>
        <w:pStyle w:val="afffff5"/>
        <w:ind w:firstLine="420"/>
      </w:pPr>
      <w:r>
        <w:rPr>
          <w:rFonts w:hint="eastAsia"/>
        </w:rPr>
        <w:t>将灭火装置放在低温试验箱中，在温度为15</w:t>
      </w:r>
      <w:r>
        <w:rPr>
          <w:rFonts w:hAnsi="宋体" w:hint="eastAsia"/>
        </w:rPr>
        <w:t>～</w:t>
      </w:r>
      <w:r>
        <w:rPr>
          <w:rFonts w:hint="eastAsia"/>
        </w:rPr>
        <w:t>20℃、相对湿度不大于70%的条件下保持1h，然后以不大于0.5℃/min的降温速率将温度降到-10℃，在此条件下稳定2h（灭火装置在试验箱中不应有结冰现象）。取出灭火装置，在温度为15</w:t>
      </w:r>
      <w:r>
        <w:rPr>
          <w:rFonts w:hAnsi="宋体" w:hint="eastAsia"/>
        </w:rPr>
        <w:t>～</w:t>
      </w:r>
      <w:r>
        <w:rPr>
          <w:rFonts w:hint="eastAsia"/>
        </w:rPr>
        <w:t>25℃、相对湿度不大于70%的环境中恢复10min后应符合7.5条的规定。</w:t>
      </w:r>
    </w:p>
    <w:p w14:paraId="491869E7" w14:textId="77777777" w:rsidR="00DD0C6C" w:rsidRDefault="00000000">
      <w:pPr>
        <w:pStyle w:val="affd"/>
        <w:spacing w:before="120" w:after="120"/>
      </w:pPr>
      <w:r>
        <w:rPr>
          <w:rFonts w:hint="eastAsia"/>
        </w:rPr>
        <w:t>灭火装置高温试验</w:t>
      </w:r>
    </w:p>
    <w:p w14:paraId="48A3A141" w14:textId="77777777" w:rsidR="00DD0C6C" w:rsidRDefault="00000000">
      <w:pPr>
        <w:pStyle w:val="afffff5"/>
        <w:ind w:firstLine="420"/>
      </w:pPr>
      <w:r>
        <w:rPr>
          <w:rFonts w:hint="eastAsia"/>
        </w:rPr>
        <w:t>将灭火装置放在高温试验箱中，在温度为23±5℃的条件下，以不大于0.5℃/min的升温速率将温度升到55±2℃，在此条件下稳定2h。取出灭火装置，在正常大气条件下放置10min后应符合7.6条的规定。</w:t>
      </w:r>
    </w:p>
    <w:p w14:paraId="486E0863" w14:textId="77777777" w:rsidR="00DD0C6C" w:rsidRDefault="00000000">
      <w:pPr>
        <w:pStyle w:val="affd"/>
        <w:spacing w:before="120" w:after="120"/>
      </w:pPr>
      <w:r>
        <w:rPr>
          <w:rFonts w:hint="eastAsia"/>
        </w:rPr>
        <w:t>A类火灭火试验</w:t>
      </w:r>
    </w:p>
    <w:p w14:paraId="4044ACA2" w14:textId="77777777" w:rsidR="00DD0C6C" w:rsidRDefault="00000000">
      <w:pPr>
        <w:pStyle w:val="afffffffff1"/>
      </w:pPr>
      <w:r>
        <w:rPr>
          <w:rFonts w:hint="eastAsia"/>
        </w:rPr>
        <w:lastRenderedPageBreak/>
        <w:t>试验火模型应符合GB 4351-2023中表2中2A级别的有关规定。</w:t>
      </w:r>
    </w:p>
    <w:p w14:paraId="259FA78F" w14:textId="77777777" w:rsidR="00DD0C6C" w:rsidRDefault="00000000">
      <w:pPr>
        <w:pStyle w:val="afffffffff1"/>
      </w:pPr>
      <w:r>
        <w:rPr>
          <w:rFonts w:hint="eastAsia"/>
        </w:rPr>
        <w:t>将灭火装置按图4所示进行设置，工作压力0.25MPa。点燃油盘内汽油，油盘尺寸宜选用</w:t>
      </w:r>
      <w:r>
        <w:t>450mm</w:t>
      </w:r>
      <w:r>
        <w:t>×</w:t>
      </w:r>
      <w:r>
        <w:t>500mm</w:t>
      </w:r>
      <w:r>
        <w:t>×</w:t>
      </w:r>
      <w:r>
        <w:t>100mm</w:t>
      </w:r>
      <w:r>
        <w:rPr>
          <w:rFonts w:hint="eastAsia"/>
        </w:rPr>
        <w:t>，灭火装置启动后喷洒3min火焰熄灭即为灭火成功。</w:t>
      </w:r>
    </w:p>
    <w:p w14:paraId="78EBD138" w14:textId="77777777" w:rsidR="00DD0C6C" w:rsidRDefault="00000000">
      <w:pPr>
        <w:pStyle w:val="affd"/>
        <w:spacing w:before="120" w:after="120"/>
      </w:pPr>
      <w:r>
        <w:rPr>
          <w:rFonts w:hint="eastAsia"/>
        </w:rPr>
        <w:t xml:space="preserve">下垂吊装灭火试验  </w:t>
      </w:r>
    </w:p>
    <w:p w14:paraId="09C63AFF" w14:textId="77777777" w:rsidR="00DD0C6C" w:rsidRDefault="00000000">
      <w:pPr>
        <w:pStyle w:val="afffff5"/>
        <w:ind w:firstLine="420"/>
        <w:rPr>
          <w:dstrike/>
        </w:rPr>
      </w:pPr>
      <w:r>
        <w:rPr>
          <w:rFonts w:hint="eastAsia"/>
        </w:rPr>
        <w:t>喷头采用公称动作温度为68℃的玻璃球，喷头上端进水管接口距离楼板底部垂直计1.2m (无天花)，喷头上端进水管接口距地面垂直计3.5m，喷头中心投影点离木垛中心点2.5m，用2Ａ级别火木垛，具体应满足GB 4351-2023中7.6.2规定的2A级别火试验模型的要求，如图4所示。试验结果应符合8.8.2的规定。</w:t>
      </w:r>
    </w:p>
    <w:p w14:paraId="14D2009C" w14:textId="77777777" w:rsidR="00DD0C6C" w:rsidRDefault="00000000">
      <w:pPr>
        <w:pStyle w:val="afffff5"/>
        <w:ind w:firstLineChars="0" w:firstLine="0"/>
        <w:jc w:val="center"/>
        <w:rPr>
          <w:highlight w:val="yellow"/>
        </w:rPr>
      </w:pPr>
      <w:r>
        <w:rPr>
          <w:noProof/>
        </w:rPr>
        <w:drawing>
          <wp:inline distT="0" distB="0" distL="0" distR="0" wp14:anchorId="7190B805" wp14:editId="57F079BF">
            <wp:extent cx="4535170" cy="2686050"/>
            <wp:effectExtent l="0" t="0" r="0" b="0"/>
            <wp:docPr id="561276407" name="图片 1" descr="图示, 工程绘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76407" name="图片 1" descr="图示, 工程绘图"/>
                    <pic:cNvPicPr>
                      <a:picLocks noChangeAspect="1"/>
                    </pic:cNvPicPr>
                  </pic:nvPicPr>
                  <pic:blipFill>
                    <a:blip r:embed="rId21"/>
                    <a:stretch>
                      <a:fillRect/>
                    </a:stretch>
                  </pic:blipFill>
                  <pic:spPr>
                    <a:xfrm>
                      <a:off x="0" y="0"/>
                      <a:ext cx="4549759" cy="2694640"/>
                    </a:xfrm>
                    <a:prstGeom prst="rect">
                      <a:avLst/>
                    </a:prstGeom>
                  </pic:spPr>
                </pic:pic>
              </a:graphicData>
            </a:graphic>
          </wp:inline>
        </w:drawing>
      </w:r>
    </w:p>
    <w:p w14:paraId="576E2E72" w14:textId="77777777" w:rsidR="00DD0C6C" w:rsidRDefault="00000000">
      <w:pPr>
        <w:pStyle w:val="afd"/>
        <w:spacing w:before="120" w:after="120"/>
      </w:pPr>
      <w:r>
        <w:rPr>
          <w:rFonts w:hint="eastAsia"/>
        </w:rPr>
        <w:t>下垂吊装灭火试验示意图</w:t>
      </w:r>
    </w:p>
    <w:p w14:paraId="38F8BA15" w14:textId="77777777" w:rsidR="00DD0C6C" w:rsidRDefault="00000000">
      <w:pPr>
        <w:pStyle w:val="affd"/>
        <w:spacing w:before="120" w:after="120"/>
      </w:pPr>
      <w:r>
        <w:rPr>
          <w:rFonts w:hint="eastAsia"/>
        </w:rPr>
        <w:t>流量试验</w:t>
      </w:r>
    </w:p>
    <w:p w14:paraId="39079C55" w14:textId="77777777" w:rsidR="00DD0C6C" w:rsidRDefault="00000000">
      <w:pPr>
        <w:pStyle w:val="afffff5"/>
        <w:ind w:firstLine="420"/>
      </w:pPr>
      <w:r>
        <w:rPr>
          <w:rFonts w:hint="eastAsia"/>
        </w:rPr>
        <w:t>灭火装置的流量试验应符合表1和GB/T 25205-2010中7.2的规定。</w:t>
      </w:r>
    </w:p>
    <w:p w14:paraId="74054783" w14:textId="77777777" w:rsidR="00DD0C6C" w:rsidRDefault="00000000">
      <w:pPr>
        <w:pStyle w:val="affd"/>
        <w:spacing w:before="120" w:after="120"/>
      </w:pPr>
      <w:r>
        <w:rPr>
          <w:rFonts w:hint="eastAsia"/>
        </w:rPr>
        <w:t xml:space="preserve">洒水均匀性及保护面积试验  </w:t>
      </w:r>
    </w:p>
    <w:p w14:paraId="0995563E" w14:textId="77777777" w:rsidR="00DD0C6C" w:rsidRDefault="00000000">
      <w:pPr>
        <w:pStyle w:val="afffff5"/>
        <w:ind w:firstLine="420"/>
      </w:pPr>
      <w:r>
        <w:rPr>
          <w:rFonts w:hint="eastAsia"/>
        </w:rPr>
        <w:t>洒水均匀性及保护面积试验步骤可参考GB/T 25205-2010中7.3.1，具体如下：</w:t>
      </w:r>
    </w:p>
    <w:p w14:paraId="411A407F" w14:textId="77777777" w:rsidR="00DD0C6C" w:rsidRDefault="00000000">
      <w:pPr>
        <w:pStyle w:val="af5"/>
      </w:pPr>
      <w:r>
        <w:rPr>
          <w:rFonts w:hint="eastAsia"/>
        </w:rPr>
        <w:t>将一只试样安装在试验管路上，集水盒有效覆盖半径为测试喷头的最大保护半径，每个集水盒的面积不应小于0.5m</w:t>
      </w:r>
      <w:r>
        <w:rPr>
          <w:rFonts w:hAnsi="宋体" w:hint="eastAsia"/>
        </w:rPr>
        <w:t>×</w:t>
      </w:r>
      <w:r>
        <w:rPr>
          <w:rFonts w:hint="eastAsia"/>
        </w:rPr>
        <w:t>0.5m，集水盒高度不应低于0.3m，集水盒外壁间距不应大于0.45m，喷头安装高度不应低于3.5m（集水盒盒口平面距试样底部的距离为喷头安装高度），如图5所示；</w:t>
      </w:r>
    </w:p>
    <w:p w14:paraId="272915EA" w14:textId="77777777" w:rsidR="00DD0C6C" w:rsidRDefault="00000000">
      <w:pPr>
        <w:pStyle w:val="af5"/>
      </w:pPr>
      <w:r>
        <w:rPr>
          <w:rFonts w:hint="eastAsia"/>
        </w:rPr>
        <w:t>试验工作压力为喷头的最低工作压力，喷水时间不应少于3min，测量每个集水盒的水量，计算每个集水盒的洒水密度和整个有效覆盖面积内的平均洒水密度，各集水盒的洒水密度不应低于平均洒水密度的20%；</w:t>
      </w:r>
    </w:p>
    <w:p w14:paraId="6E3A7A50" w14:textId="77777777" w:rsidR="00DD0C6C" w:rsidRDefault="00000000">
      <w:pPr>
        <w:pStyle w:val="af5"/>
      </w:pPr>
      <w:r>
        <w:rPr>
          <w:rFonts w:hint="eastAsia"/>
        </w:rPr>
        <w:t>每次喷水试验时，以试样地面投影为圆心，测量有效覆盖半径。</w:t>
      </w:r>
    </w:p>
    <w:p w14:paraId="547333C4" w14:textId="77777777" w:rsidR="00DD0C6C" w:rsidRDefault="00000000">
      <w:pPr>
        <w:pStyle w:val="afffff5"/>
        <w:ind w:firstLineChars="0" w:firstLine="0"/>
        <w:jc w:val="center"/>
      </w:pPr>
      <w:r>
        <w:rPr>
          <w:noProof/>
        </w:rPr>
        <w:lastRenderedPageBreak/>
        <w:drawing>
          <wp:inline distT="0" distB="0" distL="0" distR="0" wp14:anchorId="3F7B7DD0" wp14:editId="7F965DD7">
            <wp:extent cx="5150485" cy="1953260"/>
            <wp:effectExtent l="0" t="0" r="0" b="8890"/>
            <wp:docPr id="1791774414" name="图片 1" descr="图表, 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74414" name="图片 1" descr="图表, 图示"/>
                    <pic:cNvPicPr>
                      <a:picLocks noChangeAspect="1"/>
                    </pic:cNvPicPr>
                  </pic:nvPicPr>
                  <pic:blipFill>
                    <a:blip r:embed="rId22"/>
                    <a:stretch>
                      <a:fillRect/>
                    </a:stretch>
                  </pic:blipFill>
                  <pic:spPr>
                    <a:xfrm>
                      <a:off x="0" y="0"/>
                      <a:ext cx="5164936" cy="1959075"/>
                    </a:xfrm>
                    <a:prstGeom prst="rect">
                      <a:avLst/>
                    </a:prstGeom>
                  </pic:spPr>
                </pic:pic>
              </a:graphicData>
            </a:graphic>
          </wp:inline>
        </w:drawing>
      </w:r>
    </w:p>
    <w:p w14:paraId="6295C4D6" w14:textId="77777777" w:rsidR="00DD0C6C" w:rsidRDefault="00000000">
      <w:pPr>
        <w:pStyle w:val="afd"/>
        <w:spacing w:before="120" w:after="120"/>
      </w:pPr>
      <w:r>
        <w:rPr>
          <w:rFonts w:hint="eastAsia"/>
        </w:rPr>
        <w:t>洒水均匀性及保护面积试验方法示意图</w:t>
      </w:r>
    </w:p>
    <w:p w14:paraId="26AD2F65" w14:textId="77777777" w:rsidR="00DD0C6C" w:rsidRDefault="00000000">
      <w:pPr>
        <w:pStyle w:val="affc"/>
        <w:spacing w:before="240" w:after="240"/>
      </w:pPr>
      <w:bookmarkStart w:id="62" w:name="_Toc188367479"/>
      <w:bookmarkStart w:id="63" w:name="_Toc185859281"/>
      <w:bookmarkStart w:id="64" w:name="_Toc191302743"/>
      <w:r>
        <w:rPr>
          <w:rFonts w:hint="eastAsia"/>
        </w:rPr>
        <w:t>检验规则</w:t>
      </w:r>
      <w:bookmarkEnd w:id="62"/>
      <w:bookmarkEnd w:id="63"/>
      <w:bookmarkEnd w:id="64"/>
    </w:p>
    <w:p w14:paraId="5CFFED83" w14:textId="77777777" w:rsidR="00DD0C6C" w:rsidRDefault="00000000">
      <w:pPr>
        <w:pStyle w:val="affffffffe"/>
      </w:pPr>
      <w:r>
        <w:rPr>
          <w:rFonts w:hint="eastAsia"/>
        </w:rPr>
        <w:t>产品检验分为型式检验和出厂检验。</w:t>
      </w:r>
    </w:p>
    <w:p w14:paraId="6147A0CA" w14:textId="77777777" w:rsidR="00DD0C6C" w:rsidRDefault="00000000">
      <w:pPr>
        <w:pStyle w:val="affffffffe"/>
      </w:pPr>
      <w:r>
        <w:rPr>
          <w:rFonts w:hint="eastAsia"/>
        </w:rPr>
        <w:t>型式检验应按第8章进行全部项目试验，试验结果应全部符合标准规定方为合格，除灭火性能以外，若有不合格的允许对该项加倍随机抽样复验，仍有一项不合格的则判为不合格。有以下情况之一时，产品由法定检测部门进行型式检验：</w:t>
      </w:r>
    </w:p>
    <w:p w14:paraId="13F05C4C" w14:textId="77777777" w:rsidR="00DD0C6C" w:rsidRDefault="00000000">
      <w:pPr>
        <w:pStyle w:val="af5"/>
      </w:pPr>
      <w:r>
        <w:rPr>
          <w:rFonts w:hint="eastAsia"/>
        </w:rPr>
        <w:t>新产品或老产品转产时试制定型鉴定；</w:t>
      </w:r>
    </w:p>
    <w:p w14:paraId="07118D34" w14:textId="77777777" w:rsidR="00DD0C6C" w:rsidRDefault="00000000">
      <w:pPr>
        <w:pStyle w:val="af5"/>
        <w:rPr>
          <w:kern w:val="2"/>
          <w:szCs w:val="21"/>
        </w:rPr>
      </w:pPr>
      <w:r>
        <w:rPr>
          <w:rFonts w:hint="eastAsia"/>
        </w:rPr>
        <w:t>产品在结构、工艺、材料等方面有较大的改变时；</w:t>
      </w:r>
    </w:p>
    <w:p w14:paraId="4762C334" w14:textId="77777777" w:rsidR="00DD0C6C" w:rsidRDefault="00000000">
      <w:pPr>
        <w:pStyle w:val="af5"/>
        <w:rPr>
          <w:kern w:val="2"/>
          <w:szCs w:val="21"/>
        </w:rPr>
      </w:pPr>
      <w:r>
        <w:rPr>
          <w:rFonts w:hint="eastAsia"/>
        </w:rPr>
        <w:t>正常生产的周期性试验，每3年一次；</w:t>
      </w:r>
    </w:p>
    <w:p w14:paraId="32E78E63" w14:textId="77777777" w:rsidR="00DD0C6C" w:rsidRDefault="00000000">
      <w:pPr>
        <w:pStyle w:val="af5"/>
        <w:rPr>
          <w:kern w:val="2"/>
          <w:szCs w:val="21"/>
        </w:rPr>
      </w:pPr>
      <w:r>
        <w:rPr>
          <w:rFonts w:hint="eastAsia"/>
        </w:rPr>
        <w:t>产品停产一年，恢复生产时；</w:t>
      </w:r>
    </w:p>
    <w:p w14:paraId="784E4666" w14:textId="77777777" w:rsidR="00DD0C6C" w:rsidRDefault="00000000">
      <w:pPr>
        <w:pStyle w:val="af5"/>
        <w:rPr>
          <w:kern w:val="2"/>
          <w:szCs w:val="21"/>
        </w:rPr>
      </w:pPr>
      <w:r>
        <w:rPr>
          <w:rFonts w:hint="eastAsia"/>
        </w:rPr>
        <w:t>国家质量监督检验机构提出进行型式检验要求时。</w:t>
      </w:r>
    </w:p>
    <w:p w14:paraId="6DEFC079" w14:textId="77777777" w:rsidR="00DD0C6C" w:rsidRDefault="00000000">
      <w:pPr>
        <w:pStyle w:val="affffffffe"/>
      </w:pPr>
      <w:r>
        <w:rPr>
          <w:rFonts w:hint="eastAsia"/>
        </w:rPr>
        <w:t>出厂检验应逐一进行外观检验，结果应符合7.1条的规定。在不大于1000个为一批的产品中随机抽取1%（取整数）进行射水试验，结果应符合表1的规定；在大于1000个为一批的产品中随机抽取0.5%（取整数）进行射水试验，结果应符合表1的规定。若有不合格的允许对该批次加倍随机抽样复验，仍有一项不合格的则判该批次产品不合格。</w:t>
      </w:r>
    </w:p>
    <w:p w14:paraId="21B7C0E5" w14:textId="77777777" w:rsidR="00DD0C6C" w:rsidRDefault="00000000">
      <w:pPr>
        <w:pStyle w:val="affc"/>
        <w:spacing w:before="240" w:after="240"/>
      </w:pPr>
      <w:bookmarkStart w:id="65" w:name="_Toc185859282"/>
      <w:bookmarkStart w:id="66" w:name="_Toc191302744"/>
      <w:bookmarkStart w:id="67" w:name="_Toc188367480"/>
      <w:r>
        <w:rPr>
          <w:rFonts w:hint="eastAsia"/>
        </w:rPr>
        <w:t>标志、包装、运输及贮存</w:t>
      </w:r>
      <w:bookmarkEnd w:id="65"/>
      <w:bookmarkEnd w:id="66"/>
      <w:bookmarkEnd w:id="67"/>
    </w:p>
    <w:p w14:paraId="216FCA10" w14:textId="77777777" w:rsidR="00DD0C6C" w:rsidRDefault="00000000">
      <w:pPr>
        <w:pStyle w:val="affd"/>
        <w:spacing w:before="120" w:after="120"/>
      </w:pPr>
      <w:r>
        <w:rPr>
          <w:rFonts w:hint="eastAsia"/>
        </w:rPr>
        <w:t>标志</w:t>
      </w:r>
    </w:p>
    <w:p w14:paraId="58A79C7B" w14:textId="77777777" w:rsidR="00DD0C6C" w:rsidRDefault="00000000">
      <w:pPr>
        <w:pStyle w:val="afffffffff1"/>
      </w:pPr>
      <w:r>
        <w:rPr>
          <w:rFonts w:hint="eastAsia"/>
        </w:rPr>
        <w:t>产品铭牌应有生产厂名和商标、产品名称、型号规格、执行标准代号、产品编号等内容。</w:t>
      </w:r>
    </w:p>
    <w:p w14:paraId="312AFE44" w14:textId="77777777" w:rsidR="00DD0C6C" w:rsidRDefault="00000000">
      <w:pPr>
        <w:pStyle w:val="afffffffff1"/>
      </w:pPr>
      <w:r>
        <w:rPr>
          <w:rFonts w:hint="eastAsia"/>
        </w:rPr>
        <w:t>包装箱表面应印有产品名称、规格、数量、包装箱外部尺寸、毛重、生产厂名、厂址和联系电话。</w:t>
      </w:r>
    </w:p>
    <w:p w14:paraId="5969398A" w14:textId="77777777" w:rsidR="00DD0C6C" w:rsidRDefault="00000000">
      <w:pPr>
        <w:pStyle w:val="affd"/>
        <w:spacing w:before="120" w:after="120"/>
      </w:pPr>
      <w:r>
        <w:rPr>
          <w:rFonts w:hint="eastAsia"/>
        </w:rPr>
        <w:t>包装</w:t>
      </w:r>
    </w:p>
    <w:p w14:paraId="34D13DDF" w14:textId="77777777" w:rsidR="00DD0C6C" w:rsidRDefault="00000000">
      <w:pPr>
        <w:pStyle w:val="afffff5"/>
        <w:ind w:firstLine="420"/>
      </w:pPr>
      <w:r>
        <w:rPr>
          <w:rFonts w:hint="eastAsia"/>
        </w:rPr>
        <w:t>产品的包装应保证在正常运输中不损坏和散包，并符合用户需要和运输部门的规定。</w:t>
      </w:r>
    </w:p>
    <w:p w14:paraId="5A3F6C93" w14:textId="77777777" w:rsidR="00DD0C6C" w:rsidRDefault="00000000">
      <w:pPr>
        <w:pStyle w:val="affd"/>
        <w:spacing w:before="120" w:after="120"/>
      </w:pPr>
      <w:r>
        <w:rPr>
          <w:rFonts w:hint="eastAsia"/>
        </w:rPr>
        <w:t>运输</w:t>
      </w:r>
    </w:p>
    <w:p w14:paraId="4E353811" w14:textId="77777777" w:rsidR="00DD0C6C" w:rsidRDefault="00000000">
      <w:pPr>
        <w:pStyle w:val="afffff5"/>
        <w:ind w:firstLine="420"/>
      </w:pPr>
      <w:r>
        <w:rPr>
          <w:rFonts w:hint="eastAsia"/>
        </w:rPr>
        <w:t>运输时要轻装轻卸，严禁抛掷，防止碰撞，避免雨淋、曝晒及染色。</w:t>
      </w:r>
    </w:p>
    <w:p w14:paraId="6AB4B6E5" w14:textId="77777777" w:rsidR="00DD0C6C" w:rsidRDefault="00000000">
      <w:pPr>
        <w:pStyle w:val="affd"/>
        <w:spacing w:before="120" w:after="120"/>
      </w:pPr>
      <w:r>
        <w:rPr>
          <w:rFonts w:hint="eastAsia"/>
        </w:rPr>
        <w:t>贮存</w:t>
      </w:r>
    </w:p>
    <w:p w14:paraId="31D95D6A" w14:textId="77777777" w:rsidR="00DD0C6C" w:rsidRDefault="00000000">
      <w:pPr>
        <w:pStyle w:val="afffff5"/>
        <w:ind w:firstLine="420"/>
      </w:pPr>
      <w:r>
        <w:rPr>
          <w:rFonts w:hint="eastAsia"/>
        </w:rPr>
        <w:t>贮存库房要通风、干燥、清洁，严禁重压。</w:t>
      </w:r>
    </w:p>
    <w:p w14:paraId="7AE16666" w14:textId="77777777" w:rsidR="00DD0C6C" w:rsidRDefault="00000000">
      <w:pPr>
        <w:pStyle w:val="afffff5"/>
        <w:ind w:firstLineChars="0" w:firstLine="0"/>
        <w:jc w:val="center"/>
      </w:pPr>
      <w:bookmarkStart w:id="68" w:name="BookMark8"/>
      <w:bookmarkEnd w:id="19"/>
      <w:r>
        <w:rPr>
          <w:rFonts w:hint="eastAsia"/>
          <w:noProof/>
        </w:rPr>
        <w:drawing>
          <wp:inline distT="0" distB="0" distL="0" distR="0" wp14:anchorId="469AF3AC" wp14:editId="4182DCFC">
            <wp:extent cx="1485900" cy="317500"/>
            <wp:effectExtent l="0" t="0" r="0" b="6350"/>
            <wp:docPr id="1303159417" name="图片 6"/>
            <wp:cNvGraphicFramePr/>
            <a:graphic xmlns:a="http://schemas.openxmlformats.org/drawingml/2006/main">
              <a:graphicData uri="http://schemas.openxmlformats.org/drawingml/2006/picture">
                <pic:pic xmlns:pic="http://schemas.openxmlformats.org/drawingml/2006/picture">
                  <pic:nvPicPr>
                    <pic:cNvPr id="1303159417" name="图片 6"/>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DD0C6C">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EDC29" w14:textId="77777777" w:rsidR="00C334A2" w:rsidRDefault="00C334A2">
      <w:pPr>
        <w:spacing w:line="240" w:lineRule="auto"/>
      </w:pPr>
      <w:r>
        <w:separator/>
      </w:r>
    </w:p>
  </w:endnote>
  <w:endnote w:type="continuationSeparator" w:id="0">
    <w:p w14:paraId="1A38D14D" w14:textId="77777777" w:rsidR="00C334A2" w:rsidRDefault="00C33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D414" w14:textId="77777777" w:rsidR="00DD0C6C"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C4F2" w14:textId="77777777" w:rsidR="00DD0C6C" w:rsidRDefault="00DD0C6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3F30" w14:textId="77777777" w:rsidR="00DD0C6C" w:rsidRDefault="00DD0C6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B9F" w14:textId="77777777" w:rsidR="00DD0C6C"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33E2C" w14:textId="77777777" w:rsidR="00C334A2" w:rsidRDefault="00C334A2">
      <w:pPr>
        <w:spacing w:line="240" w:lineRule="auto"/>
      </w:pPr>
      <w:r>
        <w:separator/>
      </w:r>
    </w:p>
  </w:footnote>
  <w:footnote w:type="continuationSeparator" w:id="0">
    <w:p w14:paraId="3E1B6034" w14:textId="77777777" w:rsidR="00C334A2" w:rsidRDefault="00C334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4A50" w14:textId="77777777" w:rsidR="00DD0C6C" w:rsidRDefault="00DD0C6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5817" w14:textId="77777777" w:rsidR="00DD0C6C"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5332" w14:textId="77777777" w:rsidR="00DD0C6C" w:rsidRDefault="00DD0C6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63EA" w14:textId="77777777" w:rsidR="00DD0C6C"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5D05" w14:textId="3DF7702E" w:rsidR="00DD0C6C" w:rsidRDefault="00000000">
    <w:pPr>
      <w:pStyle w:val="afffffa"/>
      <w:rPr>
        <w:rFonts w:hint="eastAsia"/>
      </w:rPr>
    </w:pPr>
    <w:r>
      <w:fldChar w:fldCharType="begin"/>
    </w:r>
    <w:r>
      <w:instrText xml:space="preserve"> STYLEREF  标准文件_文件编号  \* MERGEFORMAT </w:instrText>
    </w:r>
    <w:r>
      <w:fldChar w:fldCharType="separate"/>
    </w:r>
    <w:r w:rsidR="00533E38">
      <w:rPr>
        <w:rFonts w:hint="eastAsia"/>
        <w:noProof/>
      </w:rPr>
      <w:t>T/CFPA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92684997">
    <w:abstractNumId w:val="0"/>
  </w:num>
  <w:num w:numId="2" w16cid:durableId="29037053">
    <w:abstractNumId w:val="27"/>
  </w:num>
  <w:num w:numId="3" w16cid:durableId="403647766">
    <w:abstractNumId w:val="5"/>
  </w:num>
  <w:num w:numId="4" w16cid:durableId="1816795182">
    <w:abstractNumId w:val="23"/>
  </w:num>
  <w:num w:numId="5" w16cid:durableId="863521267">
    <w:abstractNumId w:val="18"/>
  </w:num>
  <w:num w:numId="6" w16cid:durableId="746391006">
    <w:abstractNumId w:val="13"/>
  </w:num>
  <w:num w:numId="7" w16cid:durableId="2009210451">
    <w:abstractNumId w:val="8"/>
  </w:num>
  <w:num w:numId="8" w16cid:durableId="1309935643">
    <w:abstractNumId w:val="3"/>
  </w:num>
  <w:num w:numId="9" w16cid:durableId="373887122">
    <w:abstractNumId w:val="9"/>
  </w:num>
  <w:num w:numId="10" w16cid:durableId="26762774">
    <w:abstractNumId w:val="16"/>
  </w:num>
  <w:num w:numId="11" w16cid:durableId="768888056">
    <w:abstractNumId w:val="25"/>
  </w:num>
  <w:num w:numId="12" w16cid:durableId="2136288368">
    <w:abstractNumId w:val="11"/>
  </w:num>
  <w:num w:numId="13" w16cid:durableId="1736470853">
    <w:abstractNumId w:val="12"/>
  </w:num>
  <w:num w:numId="14" w16cid:durableId="2028168773">
    <w:abstractNumId w:val="7"/>
  </w:num>
  <w:num w:numId="15" w16cid:durableId="334695935">
    <w:abstractNumId w:val="19"/>
  </w:num>
  <w:num w:numId="16" w16cid:durableId="1322584091">
    <w:abstractNumId w:val="21"/>
  </w:num>
  <w:num w:numId="17" w16cid:durableId="785973641">
    <w:abstractNumId w:val="17"/>
  </w:num>
  <w:num w:numId="18" w16cid:durableId="894588513">
    <w:abstractNumId w:val="29"/>
  </w:num>
  <w:num w:numId="19" w16cid:durableId="1024357403">
    <w:abstractNumId w:val="15"/>
  </w:num>
  <w:num w:numId="20" w16cid:durableId="1517110565">
    <w:abstractNumId w:val="1"/>
  </w:num>
  <w:num w:numId="21" w16cid:durableId="1015839720">
    <w:abstractNumId w:val="10"/>
  </w:num>
  <w:num w:numId="22" w16cid:durableId="1031152020">
    <w:abstractNumId w:val="30"/>
  </w:num>
  <w:num w:numId="23" w16cid:durableId="695083991">
    <w:abstractNumId w:val="20"/>
  </w:num>
  <w:num w:numId="24" w16cid:durableId="1117991285">
    <w:abstractNumId w:val="6"/>
  </w:num>
  <w:num w:numId="25" w16cid:durableId="324095013">
    <w:abstractNumId w:val="26"/>
  </w:num>
  <w:num w:numId="26" w16cid:durableId="206722331">
    <w:abstractNumId w:val="28"/>
  </w:num>
  <w:num w:numId="27" w16cid:durableId="1135828091">
    <w:abstractNumId w:val="2"/>
  </w:num>
  <w:num w:numId="28" w16cid:durableId="2046254619">
    <w:abstractNumId w:val="4"/>
  </w:num>
  <w:num w:numId="29" w16cid:durableId="196360276">
    <w:abstractNumId w:val="14"/>
  </w:num>
  <w:num w:numId="30" w16cid:durableId="296616954">
    <w:abstractNumId w:val="24"/>
  </w:num>
  <w:num w:numId="31" w16cid:durableId="5325468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35"/>
    <w:rsid w:val="0000040A"/>
    <w:rsid w:val="00000A94"/>
    <w:rsid w:val="00001972"/>
    <w:rsid w:val="00001D9A"/>
    <w:rsid w:val="00007B3A"/>
    <w:rsid w:val="000107E0"/>
    <w:rsid w:val="00011FDE"/>
    <w:rsid w:val="00012FFD"/>
    <w:rsid w:val="00014162"/>
    <w:rsid w:val="00014340"/>
    <w:rsid w:val="00016A9C"/>
    <w:rsid w:val="00016EBF"/>
    <w:rsid w:val="00022184"/>
    <w:rsid w:val="00022762"/>
    <w:rsid w:val="000238E0"/>
    <w:rsid w:val="000247A6"/>
    <w:rsid w:val="000249DB"/>
    <w:rsid w:val="00025774"/>
    <w:rsid w:val="0002595E"/>
    <w:rsid w:val="000303C3"/>
    <w:rsid w:val="000304DC"/>
    <w:rsid w:val="000331D3"/>
    <w:rsid w:val="00034295"/>
    <w:rsid w:val="000346A5"/>
    <w:rsid w:val="00034E02"/>
    <w:rsid w:val="000359C3"/>
    <w:rsid w:val="00035A7D"/>
    <w:rsid w:val="000365ED"/>
    <w:rsid w:val="000405C0"/>
    <w:rsid w:val="0004249A"/>
    <w:rsid w:val="0004252E"/>
    <w:rsid w:val="00043282"/>
    <w:rsid w:val="00044286"/>
    <w:rsid w:val="00047F28"/>
    <w:rsid w:val="000501C4"/>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01F"/>
    <w:rsid w:val="000643FE"/>
    <w:rsid w:val="00067F1E"/>
    <w:rsid w:val="00071CC0"/>
    <w:rsid w:val="00071CFC"/>
    <w:rsid w:val="00073C8C"/>
    <w:rsid w:val="00073EA4"/>
    <w:rsid w:val="00075B39"/>
    <w:rsid w:val="00077B64"/>
    <w:rsid w:val="00080A1C"/>
    <w:rsid w:val="00082317"/>
    <w:rsid w:val="00083D2C"/>
    <w:rsid w:val="00086AA1"/>
    <w:rsid w:val="00087A77"/>
    <w:rsid w:val="00090CA6"/>
    <w:rsid w:val="00092B8A"/>
    <w:rsid w:val="00092FB0"/>
    <w:rsid w:val="000934C5"/>
    <w:rsid w:val="00093D25"/>
    <w:rsid w:val="00093DAB"/>
    <w:rsid w:val="00094327"/>
    <w:rsid w:val="00094D73"/>
    <w:rsid w:val="00096710"/>
    <w:rsid w:val="00096D63"/>
    <w:rsid w:val="000A0B60"/>
    <w:rsid w:val="000A0EB8"/>
    <w:rsid w:val="000A19FC"/>
    <w:rsid w:val="000A255B"/>
    <w:rsid w:val="000A296B"/>
    <w:rsid w:val="000A7311"/>
    <w:rsid w:val="000B060F"/>
    <w:rsid w:val="000B1592"/>
    <w:rsid w:val="000B1AF1"/>
    <w:rsid w:val="000B1FF2"/>
    <w:rsid w:val="000B3CDA"/>
    <w:rsid w:val="000B6A0B"/>
    <w:rsid w:val="000C0F6C"/>
    <w:rsid w:val="000C11DB"/>
    <w:rsid w:val="000C1492"/>
    <w:rsid w:val="000C2FBD"/>
    <w:rsid w:val="000C4B41"/>
    <w:rsid w:val="000C57D6"/>
    <w:rsid w:val="000C6362"/>
    <w:rsid w:val="000C7666"/>
    <w:rsid w:val="000C76C0"/>
    <w:rsid w:val="000D0A9C"/>
    <w:rsid w:val="000D1795"/>
    <w:rsid w:val="000D329A"/>
    <w:rsid w:val="000D4B9C"/>
    <w:rsid w:val="000D4EB6"/>
    <w:rsid w:val="000D753B"/>
    <w:rsid w:val="000E1466"/>
    <w:rsid w:val="000E4291"/>
    <w:rsid w:val="000E4C9E"/>
    <w:rsid w:val="000E6C84"/>
    <w:rsid w:val="000E6FD7"/>
    <w:rsid w:val="000E7144"/>
    <w:rsid w:val="000F06E1"/>
    <w:rsid w:val="000F0E3C"/>
    <w:rsid w:val="000F19D5"/>
    <w:rsid w:val="000F4050"/>
    <w:rsid w:val="000F4AEA"/>
    <w:rsid w:val="000F67E9"/>
    <w:rsid w:val="00104926"/>
    <w:rsid w:val="0011102A"/>
    <w:rsid w:val="00113B1E"/>
    <w:rsid w:val="0011519A"/>
    <w:rsid w:val="0011711C"/>
    <w:rsid w:val="00124E4F"/>
    <w:rsid w:val="001260B7"/>
    <w:rsid w:val="001265CB"/>
    <w:rsid w:val="001321C6"/>
    <w:rsid w:val="001325C4"/>
    <w:rsid w:val="00132F93"/>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64A"/>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3C4"/>
    <w:rsid w:val="001852C9"/>
    <w:rsid w:val="00187A0B"/>
    <w:rsid w:val="00190087"/>
    <w:rsid w:val="001913C4"/>
    <w:rsid w:val="0019348F"/>
    <w:rsid w:val="00193A07"/>
    <w:rsid w:val="00194C95"/>
    <w:rsid w:val="00195C34"/>
    <w:rsid w:val="00196EF5"/>
    <w:rsid w:val="001A1A53"/>
    <w:rsid w:val="001A234A"/>
    <w:rsid w:val="001A3818"/>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012"/>
    <w:rsid w:val="001D411C"/>
    <w:rsid w:val="001D6271"/>
    <w:rsid w:val="001D6842"/>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0D1"/>
    <w:rsid w:val="0020527B"/>
    <w:rsid w:val="00205F2C"/>
    <w:rsid w:val="00210B15"/>
    <w:rsid w:val="002142EA"/>
    <w:rsid w:val="00215ADD"/>
    <w:rsid w:val="0022048D"/>
    <w:rsid w:val="002204BB"/>
    <w:rsid w:val="00221B79"/>
    <w:rsid w:val="00221C6B"/>
    <w:rsid w:val="002251B1"/>
    <w:rsid w:val="002253A1"/>
    <w:rsid w:val="00225CF8"/>
    <w:rsid w:val="0022794E"/>
    <w:rsid w:val="002337F8"/>
    <w:rsid w:val="00233CC2"/>
    <w:rsid w:val="00233D64"/>
    <w:rsid w:val="0023482A"/>
    <w:rsid w:val="002359CB"/>
    <w:rsid w:val="00243540"/>
    <w:rsid w:val="0024497B"/>
    <w:rsid w:val="00244D25"/>
    <w:rsid w:val="0024515B"/>
    <w:rsid w:val="00246021"/>
    <w:rsid w:val="0024666E"/>
    <w:rsid w:val="002477E7"/>
    <w:rsid w:val="00247F52"/>
    <w:rsid w:val="00250B25"/>
    <w:rsid w:val="00250BBE"/>
    <w:rsid w:val="002515C2"/>
    <w:rsid w:val="0025194F"/>
    <w:rsid w:val="0026148A"/>
    <w:rsid w:val="00262696"/>
    <w:rsid w:val="00263D25"/>
    <w:rsid w:val="002643C3"/>
    <w:rsid w:val="00264A0C"/>
    <w:rsid w:val="00266EEB"/>
    <w:rsid w:val="002670CC"/>
    <w:rsid w:val="00267EF4"/>
    <w:rsid w:val="00270CB8"/>
    <w:rsid w:val="0027223C"/>
    <w:rsid w:val="00272B08"/>
    <w:rsid w:val="00281BB8"/>
    <w:rsid w:val="00281E9E"/>
    <w:rsid w:val="00282405"/>
    <w:rsid w:val="00284AD3"/>
    <w:rsid w:val="00285170"/>
    <w:rsid w:val="00285361"/>
    <w:rsid w:val="00285D92"/>
    <w:rsid w:val="00292D60"/>
    <w:rsid w:val="00293B30"/>
    <w:rsid w:val="00294D34"/>
    <w:rsid w:val="00294E3B"/>
    <w:rsid w:val="00296193"/>
    <w:rsid w:val="00296C66"/>
    <w:rsid w:val="00296EBE"/>
    <w:rsid w:val="002974E3"/>
    <w:rsid w:val="002A084B"/>
    <w:rsid w:val="002A0A70"/>
    <w:rsid w:val="002A1260"/>
    <w:rsid w:val="002A1589"/>
    <w:rsid w:val="002A1608"/>
    <w:rsid w:val="002A25DC"/>
    <w:rsid w:val="002A3AAB"/>
    <w:rsid w:val="002A4CEA"/>
    <w:rsid w:val="002A5977"/>
    <w:rsid w:val="002A5A13"/>
    <w:rsid w:val="002A757F"/>
    <w:rsid w:val="002A7F44"/>
    <w:rsid w:val="002B0C40"/>
    <w:rsid w:val="002B1966"/>
    <w:rsid w:val="002B2DED"/>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E8E"/>
    <w:rsid w:val="002E2381"/>
    <w:rsid w:val="002E4D5A"/>
    <w:rsid w:val="002E6326"/>
    <w:rsid w:val="002F30E0"/>
    <w:rsid w:val="002F35E4"/>
    <w:rsid w:val="002F3730"/>
    <w:rsid w:val="002F38E1"/>
    <w:rsid w:val="002F7AF6"/>
    <w:rsid w:val="00300E63"/>
    <w:rsid w:val="00302F5F"/>
    <w:rsid w:val="0030441D"/>
    <w:rsid w:val="00306063"/>
    <w:rsid w:val="00313B85"/>
    <w:rsid w:val="003175DA"/>
    <w:rsid w:val="00317988"/>
    <w:rsid w:val="003221B4"/>
    <w:rsid w:val="0032258D"/>
    <w:rsid w:val="00322E62"/>
    <w:rsid w:val="00324D13"/>
    <w:rsid w:val="00324EDD"/>
    <w:rsid w:val="003331E4"/>
    <w:rsid w:val="00336C64"/>
    <w:rsid w:val="00337162"/>
    <w:rsid w:val="0034194F"/>
    <w:rsid w:val="0034244E"/>
    <w:rsid w:val="00344605"/>
    <w:rsid w:val="0034625C"/>
    <w:rsid w:val="003474AA"/>
    <w:rsid w:val="00350D1D"/>
    <w:rsid w:val="0035172A"/>
    <w:rsid w:val="003522BC"/>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68B8"/>
    <w:rsid w:val="00381815"/>
    <w:rsid w:val="003819AF"/>
    <w:rsid w:val="003820E9"/>
    <w:rsid w:val="00382DE7"/>
    <w:rsid w:val="00384FFC"/>
    <w:rsid w:val="003872FC"/>
    <w:rsid w:val="00387ADC"/>
    <w:rsid w:val="00390020"/>
    <w:rsid w:val="003903D6"/>
    <w:rsid w:val="00390EE6"/>
    <w:rsid w:val="0039118F"/>
    <w:rsid w:val="00391862"/>
    <w:rsid w:val="00392AD7"/>
    <w:rsid w:val="00392ED3"/>
    <w:rsid w:val="003938D9"/>
    <w:rsid w:val="00394376"/>
    <w:rsid w:val="003943FF"/>
    <w:rsid w:val="003974EB"/>
    <w:rsid w:val="00397CC5"/>
    <w:rsid w:val="003A0AF2"/>
    <w:rsid w:val="003A11D1"/>
    <w:rsid w:val="003A1582"/>
    <w:rsid w:val="003A3D9C"/>
    <w:rsid w:val="003A4077"/>
    <w:rsid w:val="003A4AA7"/>
    <w:rsid w:val="003B09AD"/>
    <w:rsid w:val="003B1F18"/>
    <w:rsid w:val="003B5BF0"/>
    <w:rsid w:val="003B5DD7"/>
    <w:rsid w:val="003B60BF"/>
    <w:rsid w:val="003B6BE3"/>
    <w:rsid w:val="003C010C"/>
    <w:rsid w:val="003C0A6C"/>
    <w:rsid w:val="003C13E9"/>
    <w:rsid w:val="003C14F8"/>
    <w:rsid w:val="003C464C"/>
    <w:rsid w:val="003C5A43"/>
    <w:rsid w:val="003D0519"/>
    <w:rsid w:val="003D0FF6"/>
    <w:rsid w:val="003D262C"/>
    <w:rsid w:val="003D6D61"/>
    <w:rsid w:val="003E013B"/>
    <w:rsid w:val="003E019F"/>
    <w:rsid w:val="003E091D"/>
    <w:rsid w:val="003E1C53"/>
    <w:rsid w:val="003E2689"/>
    <w:rsid w:val="003E2A69"/>
    <w:rsid w:val="003E2D49"/>
    <w:rsid w:val="003E2FD4"/>
    <w:rsid w:val="003E49F6"/>
    <w:rsid w:val="003E660F"/>
    <w:rsid w:val="003F0841"/>
    <w:rsid w:val="003F23D3"/>
    <w:rsid w:val="003F3F08"/>
    <w:rsid w:val="003F49F1"/>
    <w:rsid w:val="003F4DCA"/>
    <w:rsid w:val="003F6272"/>
    <w:rsid w:val="00400E72"/>
    <w:rsid w:val="00401400"/>
    <w:rsid w:val="00402E54"/>
    <w:rsid w:val="00404869"/>
    <w:rsid w:val="00405884"/>
    <w:rsid w:val="00407D39"/>
    <w:rsid w:val="0041477A"/>
    <w:rsid w:val="0041644D"/>
    <w:rsid w:val="004167A3"/>
    <w:rsid w:val="00421B6A"/>
    <w:rsid w:val="00430FEF"/>
    <w:rsid w:val="00432DAA"/>
    <w:rsid w:val="00434305"/>
    <w:rsid w:val="00435DF7"/>
    <w:rsid w:val="0043741A"/>
    <w:rsid w:val="0044083F"/>
    <w:rsid w:val="00441AE7"/>
    <w:rsid w:val="00445574"/>
    <w:rsid w:val="004467FB"/>
    <w:rsid w:val="00452D6B"/>
    <w:rsid w:val="0045440C"/>
    <w:rsid w:val="00454484"/>
    <w:rsid w:val="0045517B"/>
    <w:rsid w:val="00463B77"/>
    <w:rsid w:val="00463C7B"/>
    <w:rsid w:val="004644A6"/>
    <w:rsid w:val="004659BD"/>
    <w:rsid w:val="00470775"/>
    <w:rsid w:val="004746B1"/>
    <w:rsid w:val="0047583F"/>
    <w:rsid w:val="00475DE8"/>
    <w:rsid w:val="00481C44"/>
    <w:rsid w:val="00483982"/>
    <w:rsid w:val="00483D11"/>
    <w:rsid w:val="00484936"/>
    <w:rsid w:val="00485C89"/>
    <w:rsid w:val="00486BE3"/>
    <w:rsid w:val="004905E4"/>
    <w:rsid w:val="00490A89"/>
    <w:rsid w:val="00490AB4"/>
    <w:rsid w:val="00492010"/>
    <w:rsid w:val="00492848"/>
    <w:rsid w:val="00492F02"/>
    <w:rsid w:val="004939AE"/>
    <w:rsid w:val="004A12DF"/>
    <w:rsid w:val="004A1BA8"/>
    <w:rsid w:val="004A4958"/>
    <w:rsid w:val="004A4B57"/>
    <w:rsid w:val="004A63FA"/>
    <w:rsid w:val="004A6A3D"/>
    <w:rsid w:val="004B0272"/>
    <w:rsid w:val="004B2701"/>
    <w:rsid w:val="004B2E1B"/>
    <w:rsid w:val="004B3AA8"/>
    <w:rsid w:val="004B3E93"/>
    <w:rsid w:val="004B43A9"/>
    <w:rsid w:val="004B6A78"/>
    <w:rsid w:val="004B7681"/>
    <w:rsid w:val="004C1FBC"/>
    <w:rsid w:val="004C25A2"/>
    <w:rsid w:val="004C3F1D"/>
    <w:rsid w:val="004C458D"/>
    <w:rsid w:val="004C7556"/>
    <w:rsid w:val="004C7E8B"/>
    <w:rsid w:val="004C7E9D"/>
    <w:rsid w:val="004C7F67"/>
    <w:rsid w:val="004D076D"/>
    <w:rsid w:val="004D0EF1"/>
    <w:rsid w:val="004D1925"/>
    <w:rsid w:val="004D2253"/>
    <w:rsid w:val="004D4406"/>
    <w:rsid w:val="004D7C42"/>
    <w:rsid w:val="004E0465"/>
    <w:rsid w:val="004E127B"/>
    <w:rsid w:val="004E1AD5"/>
    <w:rsid w:val="004E1C0A"/>
    <w:rsid w:val="004E30C5"/>
    <w:rsid w:val="004E45D4"/>
    <w:rsid w:val="004E4AA5"/>
    <w:rsid w:val="004E4AEE"/>
    <w:rsid w:val="004E59E3"/>
    <w:rsid w:val="004E67C0"/>
    <w:rsid w:val="004F23AB"/>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BB1"/>
    <w:rsid w:val="00524D0A"/>
    <w:rsid w:val="00524D65"/>
    <w:rsid w:val="00525B16"/>
    <w:rsid w:val="0053397A"/>
    <w:rsid w:val="00533D04"/>
    <w:rsid w:val="00533E38"/>
    <w:rsid w:val="00534804"/>
    <w:rsid w:val="00534BDF"/>
    <w:rsid w:val="005354EA"/>
    <w:rsid w:val="0053585F"/>
    <w:rsid w:val="00535EC4"/>
    <w:rsid w:val="00535ED9"/>
    <w:rsid w:val="0053692B"/>
    <w:rsid w:val="00540359"/>
    <w:rsid w:val="00541853"/>
    <w:rsid w:val="00542442"/>
    <w:rsid w:val="00543BDA"/>
    <w:rsid w:val="005441CC"/>
    <w:rsid w:val="00544C99"/>
    <w:rsid w:val="005478A0"/>
    <w:rsid w:val="005479DA"/>
    <w:rsid w:val="00547BCC"/>
    <w:rsid w:val="0055013B"/>
    <w:rsid w:val="00551F6F"/>
    <w:rsid w:val="0055256E"/>
    <w:rsid w:val="00555044"/>
    <w:rsid w:val="00555D09"/>
    <w:rsid w:val="00561475"/>
    <w:rsid w:val="00562308"/>
    <w:rsid w:val="0056487B"/>
    <w:rsid w:val="00564FB9"/>
    <w:rsid w:val="00573D9E"/>
    <w:rsid w:val="005801E3"/>
    <w:rsid w:val="00581802"/>
    <w:rsid w:val="005827E6"/>
    <w:rsid w:val="005836A8"/>
    <w:rsid w:val="0058409C"/>
    <w:rsid w:val="00584262"/>
    <w:rsid w:val="00586630"/>
    <w:rsid w:val="00587ADD"/>
    <w:rsid w:val="00593A49"/>
    <w:rsid w:val="00596084"/>
    <w:rsid w:val="00596160"/>
    <w:rsid w:val="005966E2"/>
    <w:rsid w:val="00597007"/>
    <w:rsid w:val="005A0966"/>
    <w:rsid w:val="005A0A4E"/>
    <w:rsid w:val="005A0EBC"/>
    <w:rsid w:val="005A11B7"/>
    <w:rsid w:val="005A2174"/>
    <w:rsid w:val="005A260B"/>
    <w:rsid w:val="005A2ACB"/>
    <w:rsid w:val="005A3C0E"/>
    <w:rsid w:val="005A4A1B"/>
    <w:rsid w:val="005A7830"/>
    <w:rsid w:val="005A7FCE"/>
    <w:rsid w:val="005B0F3F"/>
    <w:rsid w:val="005B191C"/>
    <w:rsid w:val="005B1B01"/>
    <w:rsid w:val="005B4903"/>
    <w:rsid w:val="005B51CE"/>
    <w:rsid w:val="005B5885"/>
    <w:rsid w:val="005B5CD7"/>
    <w:rsid w:val="005B6CF6"/>
    <w:rsid w:val="005B7422"/>
    <w:rsid w:val="005C29B8"/>
    <w:rsid w:val="005C5F21"/>
    <w:rsid w:val="005C7156"/>
    <w:rsid w:val="005D04AC"/>
    <w:rsid w:val="005D0C75"/>
    <w:rsid w:val="005D4171"/>
    <w:rsid w:val="005D6A95"/>
    <w:rsid w:val="005D6B2C"/>
    <w:rsid w:val="005D6D9C"/>
    <w:rsid w:val="005E13C6"/>
    <w:rsid w:val="005E2335"/>
    <w:rsid w:val="005E34CA"/>
    <w:rsid w:val="005E3C18"/>
    <w:rsid w:val="005E4250"/>
    <w:rsid w:val="005E6812"/>
    <w:rsid w:val="005E7881"/>
    <w:rsid w:val="005E78E0"/>
    <w:rsid w:val="005F0D9C"/>
    <w:rsid w:val="005F1E15"/>
    <w:rsid w:val="005F284E"/>
    <w:rsid w:val="005F4ABD"/>
    <w:rsid w:val="006015CE"/>
    <w:rsid w:val="00602300"/>
    <w:rsid w:val="006044EF"/>
    <w:rsid w:val="00604784"/>
    <w:rsid w:val="00606419"/>
    <w:rsid w:val="00607D29"/>
    <w:rsid w:val="00612952"/>
    <w:rsid w:val="00614CC1"/>
    <w:rsid w:val="00615A9D"/>
    <w:rsid w:val="00617387"/>
    <w:rsid w:val="0061799C"/>
    <w:rsid w:val="006205D6"/>
    <w:rsid w:val="00622331"/>
    <w:rsid w:val="006239C2"/>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35D"/>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BCE"/>
    <w:rsid w:val="00693962"/>
    <w:rsid w:val="006A07AA"/>
    <w:rsid w:val="006A25E5"/>
    <w:rsid w:val="006A2B46"/>
    <w:rsid w:val="006A336D"/>
    <w:rsid w:val="006A37B9"/>
    <w:rsid w:val="006A6D54"/>
    <w:rsid w:val="006B2672"/>
    <w:rsid w:val="006B54BF"/>
    <w:rsid w:val="006B5F44"/>
    <w:rsid w:val="006B5F90"/>
    <w:rsid w:val="006B62E4"/>
    <w:rsid w:val="006B7BED"/>
    <w:rsid w:val="006C1BBA"/>
    <w:rsid w:val="006C2079"/>
    <w:rsid w:val="006C5A62"/>
    <w:rsid w:val="006C5D68"/>
    <w:rsid w:val="006C616F"/>
    <w:rsid w:val="006C6976"/>
    <w:rsid w:val="006C6DD0"/>
    <w:rsid w:val="006D04EA"/>
    <w:rsid w:val="006D16C4"/>
    <w:rsid w:val="006D3E96"/>
    <w:rsid w:val="006D4515"/>
    <w:rsid w:val="006D4BB1"/>
    <w:rsid w:val="006D6593"/>
    <w:rsid w:val="006F03A8"/>
    <w:rsid w:val="006F2ACA"/>
    <w:rsid w:val="006F2ADC"/>
    <w:rsid w:val="006F2BFE"/>
    <w:rsid w:val="006F31E9"/>
    <w:rsid w:val="006F4E0D"/>
    <w:rsid w:val="006F6284"/>
    <w:rsid w:val="006F7E4C"/>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C9E"/>
    <w:rsid w:val="0073720F"/>
    <w:rsid w:val="00737796"/>
    <w:rsid w:val="0074165C"/>
    <w:rsid w:val="00742C35"/>
    <w:rsid w:val="007432CA"/>
    <w:rsid w:val="007439EB"/>
    <w:rsid w:val="00743CB4"/>
    <w:rsid w:val="00743F0A"/>
    <w:rsid w:val="007444E8"/>
    <w:rsid w:val="0074548E"/>
    <w:rsid w:val="00745773"/>
    <w:rsid w:val="00746800"/>
    <w:rsid w:val="0074738E"/>
    <w:rsid w:val="007501A8"/>
    <w:rsid w:val="00750D61"/>
    <w:rsid w:val="00750EE1"/>
    <w:rsid w:val="00752B4D"/>
    <w:rsid w:val="00755402"/>
    <w:rsid w:val="00756166"/>
    <w:rsid w:val="00756B26"/>
    <w:rsid w:val="00756EDF"/>
    <w:rsid w:val="007600E3"/>
    <w:rsid w:val="00765C43"/>
    <w:rsid w:val="00765EFB"/>
    <w:rsid w:val="007671CA"/>
    <w:rsid w:val="00767C61"/>
    <w:rsid w:val="0077008A"/>
    <w:rsid w:val="00773C1F"/>
    <w:rsid w:val="00774DA4"/>
    <w:rsid w:val="00776599"/>
    <w:rsid w:val="0078114B"/>
    <w:rsid w:val="00781DD2"/>
    <w:rsid w:val="00782D57"/>
    <w:rsid w:val="00783ECF"/>
    <w:rsid w:val="0078413A"/>
    <w:rsid w:val="007959E8"/>
    <w:rsid w:val="00795E9C"/>
    <w:rsid w:val="007A0521"/>
    <w:rsid w:val="007A2E12"/>
    <w:rsid w:val="007A3475"/>
    <w:rsid w:val="007A41C8"/>
    <w:rsid w:val="007A54CE"/>
    <w:rsid w:val="007A5D3A"/>
    <w:rsid w:val="007A6FD9"/>
    <w:rsid w:val="007A7F95"/>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FC9"/>
    <w:rsid w:val="007D2508"/>
    <w:rsid w:val="007D346A"/>
    <w:rsid w:val="007D6518"/>
    <w:rsid w:val="007D76BD"/>
    <w:rsid w:val="007E0BF1"/>
    <w:rsid w:val="007E5EED"/>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ED5"/>
    <w:rsid w:val="008209E6"/>
    <w:rsid w:val="00821D19"/>
    <w:rsid w:val="00823303"/>
    <w:rsid w:val="008233B2"/>
    <w:rsid w:val="00823A9F"/>
    <w:rsid w:val="00823C85"/>
    <w:rsid w:val="00825138"/>
    <w:rsid w:val="008269DD"/>
    <w:rsid w:val="00830621"/>
    <w:rsid w:val="0083348C"/>
    <w:rsid w:val="00836210"/>
    <w:rsid w:val="008373D3"/>
    <w:rsid w:val="00840617"/>
    <w:rsid w:val="00840F84"/>
    <w:rsid w:val="0084239C"/>
    <w:rsid w:val="00842A47"/>
    <w:rsid w:val="00843C13"/>
    <w:rsid w:val="00843DEF"/>
    <w:rsid w:val="008454F8"/>
    <w:rsid w:val="008504A5"/>
    <w:rsid w:val="008510D1"/>
    <w:rsid w:val="0085173A"/>
    <w:rsid w:val="00855BC2"/>
    <w:rsid w:val="008603CE"/>
    <w:rsid w:val="008620FC"/>
    <w:rsid w:val="008627A5"/>
    <w:rsid w:val="00863E05"/>
    <w:rsid w:val="00865ACA"/>
    <w:rsid w:val="00865D28"/>
    <w:rsid w:val="00865F85"/>
    <w:rsid w:val="00866F3E"/>
    <w:rsid w:val="00867C10"/>
    <w:rsid w:val="00870439"/>
    <w:rsid w:val="00870DA1"/>
    <w:rsid w:val="008822AC"/>
    <w:rsid w:val="00883F93"/>
    <w:rsid w:val="00884DB3"/>
    <w:rsid w:val="00885A9D"/>
    <w:rsid w:val="008864F6"/>
    <w:rsid w:val="0089049D"/>
    <w:rsid w:val="008913CA"/>
    <w:rsid w:val="008928C9"/>
    <w:rsid w:val="008930CB"/>
    <w:rsid w:val="008938DC"/>
    <w:rsid w:val="00893FD1"/>
    <w:rsid w:val="00894836"/>
    <w:rsid w:val="00895172"/>
    <w:rsid w:val="00895680"/>
    <w:rsid w:val="00896DFF"/>
    <w:rsid w:val="0089762C"/>
    <w:rsid w:val="008A173B"/>
    <w:rsid w:val="008A1893"/>
    <w:rsid w:val="008A3398"/>
    <w:rsid w:val="008A57E6"/>
    <w:rsid w:val="008A6F81"/>
    <w:rsid w:val="008A769A"/>
    <w:rsid w:val="008B0C9C"/>
    <w:rsid w:val="008B166D"/>
    <w:rsid w:val="008B17F4"/>
    <w:rsid w:val="008B3615"/>
    <w:rsid w:val="008B4AC4"/>
    <w:rsid w:val="008B50C8"/>
    <w:rsid w:val="008B5281"/>
    <w:rsid w:val="008B7E05"/>
    <w:rsid w:val="008C1797"/>
    <w:rsid w:val="008C219C"/>
    <w:rsid w:val="008C3631"/>
    <w:rsid w:val="008C475E"/>
    <w:rsid w:val="008C619A"/>
    <w:rsid w:val="008D0CE8"/>
    <w:rsid w:val="008D2D1D"/>
    <w:rsid w:val="008D453D"/>
    <w:rsid w:val="008D53AD"/>
    <w:rsid w:val="008D562B"/>
    <w:rsid w:val="008D5733"/>
    <w:rsid w:val="008D622B"/>
    <w:rsid w:val="008D666C"/>
    <w:rsid w:val="008D7B54"/>
    <w:rsid w:val="008E036C"/>
    <w:rsid w:val="008E0C9D"/>
    <w:rsid w:val="008E1648"/>
    <w:rsid w:val="008E1716"/>
    <w:rsid w:val="008E1B3E"/>
    <w:rsid w:val="008E2319"/>
    <w:rsid w:val="008E4BB6"/>
    <w:rsid w:val="008E51DB"/>
    <w:rsid w:val="008E5518"/>
    <w:rsid w:val="008E6A84"/>
    <w:rsid w:val="008F0CDC"/>
    <w:rsid w:val="008F17A3"/>
    <w:rsid w:val="008F1ED3"/>
    <w:rsid w:val="008F4C29"/>
    <w:rsid w:val="008F70BD"/>
    <w:rsid w:val="008F788F"/>
    <w:rsid w:val="008F7EA2"/>
    <w:rsid w:val="009006C4"/>
    <w:rsid w:val="00902722"/>
    <w:rsid w:val="009027BC"/>
    <w:rsid w:val="009062E6"/>
    <w:rsid w:val="00911BE5"/>
    <w:rsid w:val="00913CA9"/>
    <w:rsid w:val="009145AE"/>
    <w:rsid w:val="009146CE"/>
    <w:rsid w:val="00914CA7"/>
    <w:rsid w:val="00915C3E"/>
    <w:rsid w:val="009161A8"/>
    <w:rsid w:val="009230CD"/>
    <w:rsid w:val="009245AE"/>
    <w:rsid w:val="009245F5"/>
    <w:rsid w:val="009249EC"/>
    <w:rsid w:val="009273B3"/>
    <w:rsid w:val="009305B5"/>
    <w:rsid w:val="00931F2B"/>
    <w:rsid w:val="00936619"/>
    <w:rsid w:val="00936663"/>
    <w:rsid w:val="009378DD"/>
    <w:rsid w:val="009425B7"/>
    <w:rsid w:val="009429D5"/>
    <w:rsid w:val="00942BF1"/>
    <w:rsid w:val="00945180"/>
    <w:rsid w:val="00945428"/>
    <w:rsid w:val="0094607B"/>
    <w:rsid w:val="00953604"/>
    <w:rsid w:val="0095496B"/>
    <w:rsid w:val="00955794"/>
    <w:rsid w:val="00960F1E"/>
    <w:rsid w:val="009610DC"/>
    <w:rsid w:val="00961490"/>
    <w:rsid w:val="0096381A"/>
    <w:rsid w:val="00965E04"/>
    <w:rsid w:val="009674AD"/>
    <w:rsid w:val="00970CDC"/>
    <w:rsid w:val="00975635"/>
    <w:rsid w:val="00975727"/>
    <w:rsid w:val="00977010"/>
    <w:rsid w:val="00977D02"/>
    <w:rsid w:val="00977FF9"/>
    <w:rsid w:val="009809BB"/>
    <w:rsid w:val="0098364B"/>
    <w:rsid w:val="00984F62"/>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516"/>
    <w:rsid w:val="009A5429"/>
    <w:rsid w:val="009A72AD"/>
    <w:rsid w:val="009B09E0"/>
    <w:rsid w:val="009B0BC5"/>
    <w:rsid w:val="009B1247"/>
    <w:rsid w:val="009B6029"/>
    <w:rsid w:val="009B6971"/>
    <w:rsid w:val="009C27F1"/>
    <w:rsid w:val="009C2BA3"/>
    <w:rsid w:val="009C3152"/>
    <w:rsid w:val="009C3257"/>
    <w:rsid w:val="009C4CFA"/>
    <w:rsid w:val="009C5070"/>
    <w:rsid w:val="009C636D"/>
    <w:rsid w:val="009D112C"/>
    <w:rsid w:val="009D1385"/>
    <w:rsid w:val="009D19C3"/>
    <w:rsid w:val="009D47FA"/>
    <w:rsid w:val="009D4C5B"/>
    <w:rsid w:val="009D50D2"/>
    <w:rsid w:val="009D6288"/>
    <w:rsid w:val="009D6BCA"/>
    <w:rsid w:val="009E0F62"/>
    <w:rsid w:val="009E2A47"/>
    <w:rsid w:val="009E2F95"/>
    <w:rsid w:val="009E4A58"/>
    <w:rsid w:val="009E5A2D"/>
    <w:rsid w:val="009E5AB2"/>
    <w:rsid w:val="009E6219"/>
    <w:rsid w:val="009F03B3"/>
    <w:rsid w:val="009F1044"/>
    <w:rsid w:val="009F1E27"/>
    <w:rsid w:val="009F3566"/>
    <w:rsid w:val="009F5ACC"/>
    <w:rsid w:val="00A0096C"/>
    <w:rsid w:val="00A01757"/>
    <w:rsid w:val="00A028C0"/>
    <w:rsid w:val="00A02BAE"/>
    <w:rsid w:val="00A06A6B"/>
    <w:rsid w:val="00A077A7"/>
    <w:rsid w:val="00A07915"/>
    <w:rsid w:val="00A07E47"/>
    <w:rsid w:val="00A129D0"/>
    <w:rsid w:val="00A12C33"/>
    <w:rsid w:val="00A138BA"/>
    <w:rsid w:val="00A14C8E"/>
    <w:rsid w:val="00A1506C"/>
    <w:rsid w:val="00A153D9"/>
    <w:rsid w:val="00A15A84"/>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D69"/>
    <w:rsid w:val="00A647BA"/>
    <w:rsid w:val="00A648CD"/>
    <w:rsid w:val="00A6537A"/>
    <w:rsid w:val="00A655A8"/>
    <w:rsid w:val="00A67866"/>
    <w:rsid w:val="00A70B07"/>
    <w:rsid w:val="00A723F8"/>
    <w:rsid w:val="00A77CCB"/>
    <w:rsid w:val="00A80768"/>
    <w:rsid w:val="00A815DE"/>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0D2"/>
    <w:rsid w:val="00AB1A0E"/>
    <w:rsid w:val="00AB6309"/>
    <w:rsid w:val="00AB6C5F"/>
    <w:rsid w:val="00AB6D1D"/>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676"/>
    <w:rsid w:val="00AE5EB4"/>
    <w:rsid w:val="00AF0C18"/>
    <w:rsid w:val="00AF1BE9"/>
    <w:rsid w:val="00AF47C5"/>
    <w:rsid w:val="00AF5398"/>
    <w:rsid w:val="00B00436"/>
    <w:rsid w:val="00B00EB0"/>
    <w:rsid w:val="00B049AF"/>
    <w:rsid w:val="00B07242"/>
    <w:rsid w:val="00B10534"/>
    <w:rsid w:val="00B113DB"/>
    <w:rsid w:val="00B11D8A"/>
    <w:rsid w:val="00B12981"/>
    <w:rsid w:val="00B12AB6"/>
    <w:rsid w:val="00B147DD"/>
    <w:rsid w:val="00B156FD"/>
    <w:rsid w:val="00B21F61"/>
    <w:rsid w:val="00B261F1"/>
    <w:rsid w:val="00B265BC"/>
    <w:rsid w:val="00B27A28"/>
    <w:rsid w:val="00B31FB1"/>
    <w:rsid w:val="00B323A4"/>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3CEE"/>
    <w:rsid w:val="00B65149"/>
    <w:rsid w:val="00B66567"/>
    <w:rsid w:val="00B66F52"/>
    <w:rsid w:val="00B66FE5"/>
    <w:rsid w:val="00B72880"/>
    <w:rsid w:val="00B758BF"/>
    <w:rsid w:val="00B768C6"/>
    <w:rsid w:val="00B77EC8"/>
    <w:rsid w:val="00B820FB"/>
    <w:rsid w:val="00B827A6"/>
    <w:rsid w:val="00B831CE"/>
    <w:rsid w:val="00B86677"/>
    <w:rsid w:val="00B86E75"/>
    <w:rsid w:val="00B87131"/>
    <w:rsid w:val="00B87195"/>
    <w:rsid w:val="00B939B1"/>
    <w:rsid w:val="00B96D40"/>
    <w:rsid w:val="00B97386"/>
    <w:rsid w:val="00BA263B"/>
    <w:rsid w:val="00BA35C5"/>
    <w:rsid w:val="00BA42B2"/>
    <w:rsid w:val="00BA58D4"/>
    <w:rsid w:val="00BA5B9E"/>
    <w:rsid w:val="00BA7C9A"/>
    <w:rsid w:val="00BB40E5"/>
    <w:rsid w:val="00BB5F8F"/>
    <w:rsid w:val="00BB657A"/>
    <w:rsid w:val="00BC1A4E"/>
    <w:rsid w:val="00BC5DC7"/>
    <w:rsid w:val="00BC652A"/>
    <w:rsid w:val="00BC6B8B"/>
    <w:rsid w:val="00BC73D8"/>
    <w:rsid w:val="00BD10FE"/>
    <w:rsid w:val="00BD52D7"/>
    <w:rsid w:val="00BD5AD2"/>
    <w:rsid w:val="00BE22F3"/>
    <w:rsid w:val="00BE5B52"/>
    <w:rsid w:val="00BE7B8D"/>
    <w:rsid w:val="00BF0993"/>
    <w:rsid w:val="00BF10A9"/>
    <w:rsid w:val="00BF1703"/>
    <w:rsid w:val="00BF231C"/>
    <w:rsid w:val="00BF33C1"/>
    <w:rsid w:val="00BF51E5"/>
    <w:rsid w:val="00BF74A6"/>
    <w:rsid w:val="00C013AD"/>
    <w:rsid w:val="00C04904"/>
    <w:rsid w:val="00C056B3"/>
    <w:rsid w:val="00C103E5"/>
    <w:rsid w:val="00C13319"/>
    <w:rsid w:val="00C13EE9"/>
    <w:rsid w:val="00C1793E"/>
    <w:rsid w:val="00C21540"/>
    <w:rsid w:val="00C21906"/>
    <w:rsid w:val="00C21BA2"/>
    <w:rsid w:val="00C21BFA"/>
    <w:rsid w:val="00C22BE3"/>
    <w:rsid w:val="00C24C8D"/>
    <w:rsid w:val="00C25FE2"/>
    <w:rsid w:val="00C26B53"/>
    <w:rsid w:val="00C279B2"/>
    <w:rsid w:val="00C334A2"/>
    <w:rsid w:val="00C33E50"/>
    <w:rsid w:val="00C34C20"/>
    <w:rsid w:val="00C35A3E"/>
    <w:rsid w:val="00C41AC5"/>
    <w:rsid w:val="00C41E98"/>
    <w:rsid w:val="00C42130"/>
    <w:rsid w:val="00C423A4"/>
    <w:rsid w:val="00C423E3"/>
    <w:rsid w:val="00C44BF5"/>
    <w:rsid w:val="00C507AD"/>
    <w:rsid w:val="00C521D6"/>
    <w:rsid w:val="00C55232"/>
    <w:rsid w:val="00C553A4"/>
    <w:rsid w:val="00C55A06"/>
    <w:rsid w:val="00C55D03"/>
    <w:rsid w:val="00C57036"/>
    <w:rsid w:val="00C601BC"/>
    <w:rsid w:val="00C6329F"/>
    <w:rsid w:val="00C63340"/>
    <w:rsid w:val="00C643F9"/>
    <w:rsid w:val="00C64E95"/>
    <w:rsid w:val="00C71372"/>
    <w:rsid w:val="00C72410"/>
    <w:rsid w:val="00C7287F"/>
    <w:rsid w:val="00C73EF4"/>
    <w:rsid w:val="00C744B9"/>
    <w:rsid w:val="00C76348"/>
    <w:rsid w:val="00C769C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5F6"/>
    <w:rsid w:val="00CC038D"/>
    <w:rsid w:val="00CC08DB"/>
    <w:rsid w:val="00CC39FF"/>
    <w:rsid w:val="00CC3C2F"/>
    <w:rsid w:val="00CC4AC8"/>
    <w:rsid w:val="00CC5233"/>
    <w:rsid w:val="00CC5DE6"/>
    <w:rsid w:val="00CC6E4E"/>
    <w:rsid w:val="00CC6FE8"/>
    <w:rsid w:val="00CC7202"/>
    <w:rsid w:val="00CC7A78"/>
    <w:rsid w:val="00CD2808"/>
    <w:rsid w:val="00CD28BF"/>
    <w:rsid w:val="00CD4092"/>
    <w:rsid w:val="00CD4A20"/>
    <w:rsid w:val="00CD50A1"/>
    <w:rsid w:val="00CD519E"/>
    <w:rsid w:val="00CE0C4F"/>
    <w:rsid w:val="00CE30EA"/>
    <w:rsid w:val="00CE7825"/>
    <w:rsid w:val="00CF048A"/>
    <w:rsid w:val="00CF155A"/>
    <w:rsid w:val="00CF1E58"/>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48A"/>
    <w:rsid w:val="00D20737"/>
    <w:rsid w:val="00D21E81"/>
    <w:rsid w:val="00D223DE"/>
    <w:rsid w:val="00D2362C"/>
    <w:rsid w:val="00D25E37"/>
    <w:rsid w:val="00D2661A"/>
    <w:rsid w:val="00D27582"/>
    <w:rsid w:val="00D27EC4"/>
    <w:rsid w:val="00D31772"/>
    <w:rsid w:val="00D32719"/>
    <w:rsid w:val="00D33333"/>
    <w:rsid w:val="00D352A2"/>
    <w:rsid w:val="00D4162B"/>
    <w:rsid w:val="00D43FAF"/>
    <w:rsid w:val="00D44CC1"/>
    <w:rsid w:val="00D4514F"/>
    <w:rsid w:val="00D451E2"/>
    <w:rsid w:val="00D45E89"/>
    <w:rsid w:val="00D45E8D"/>
    <w:rsid w:val="00D466AE"/>
    <w:rsid w:val="00D4734F"/>
    <w:rsid w:val="00D51BF3"/>
    <w:rsid w:val="00D57210"/>
    <w:rsid w:val="00D66846"/>
    <w:rsid w:val="00D675FB"/>
    <w:rsid w:val="00D71F25"/>
    <w:rsid w:val="00D72A9C"/>
    <w:rsid w:val="00D760B9"/>
    <w:rsid w:val="00D77031"/>
    <w:rsid w:val="00D84941"/>
    <w:rsid w:val="00D84FA1"/>
    <w:rsid w:val="00D851F0"/>
    <w:rsid w:val="00D86050"/>
    <w:rsid w:val="00D86DB7"/>
    <w:rsid w:val="00D87BF2"/>
    <w:rsid w:val="00D87BF5"/>
    <w:rsid w:val="00D90721"/>
    <w:rsid w:val="00D926D0"/>
    <w:rsid w:val="00D93030"/>
    <w:rsid w:val="00D950E1"/>
    <w:rsid w:val="00D952A6"/>
    <w:rsid w:val="00D95C7C"/>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7D1"/>
    <w:rsid w:val="00DC3067"/>
    <w:rsid w:val="00DC370B"/>
    <w:rsid w:val="00DC401B"/>
    <w:rsid w:val="00DC5B90"/>
    <w:rsid w:val="00DD00FF"/>
    <w:rsid w:val="00DD0619"/>
    <w:rsid w:val="00DD07FB"/>
    <w:rsid w:val="00DD0C6C"/>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3DC"/>
    <w:rsid w:val="00E06404"/>
    <w:rsid w:val="00E0703C"/>
    <w:rsid w:val="00E11A85"/>
    <w:rsid w:val="00E120CD"/>
    <w:rsid w:val="00E12495"/>
    <w:rsid w:val="00E15CCD"/>
    <w:rsid w:val="00E1674A"/>
    <w:rsid w:val="00E202EF"/>
    <w:rsid w:val="00E210B5"/>
    <w:rsid w:val="00E21172"/>
    <w:rsid w:val="00E2552F"/>
    <w:rsid w:val="00E3137A"/>
    <w:rsid w:val="00E32CCF"/>
    <w:rsid w:val="00E33D9A"/>
    <w:rsid w:val="00E34A98"/>
    <w:rsid w:val="00E35D1E"/>
    <w:rsid w:val="00E364F9"/>
    <w:rsid w:val="00E365FA"/>
    <w:rsid w:val="00E36789"/>
    <w:rsid w:val="00E43A00"/>
    <w:rsid w:val="00E44A83"/>
    <w:rsid w:val="00E46A32"/>
    <w:rsid w:val="00E502C1"/>
    <w:rsid w:val="00E502DD"/>
    <w:rsid w:val="00E50D3A"/>
    <w:rsid w:val="00E51387"/>
    <w:rsid w:val="00E51E68"/>
    <w:rsid w:val="00E527C1"/>
    <w:rsid w:val="00E52EFD"/>
    <w:rsid w:val="00E5408A"/>
    <w:rsid w:val="00E54F4C"/>
    <w:rsid w:val="00E56800"/>
    <w:rsid w:val="00E6074F"/>
    <w:rsid w:val="00E60C63"/>
    <w:rsid w:val="00E62FF9"/>
    <w:rsid w:val="00E635D6"/>
    <w:rsid w:val="00E639BC"/>
    <w:rsid w:val="00E664CC"/>
    <w:rsid w:val="00E70388"/>
    <w:rsid w:val="00E70F92"/>
    <w:rsid w:val="00E74313"/>
    <w:rsid w:val="00E74C54"/>
    <w:rsid w:val="00E7641D"/>
    <w:rsid w:val="00E77A03"/>
    <w:rsid w:val="00E822E8"/>
    <w:rsid w:val="00E82554"/>
    <w:rsid w:val="00E82606"/>
    <w:rsid w:val="00E831C1"/>
    <w:rsid w:val="00E846C8"/>
    <w:rsid w:val="00E84957"/>
    <w:rsid w:val="00E84A55"/>
    <w:rsid w:val="00E8554D"/>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555"/>
    <w:rsid w:val="00EB74DB"/>
    <w:rsid w:val="00EC0027"/>
    <w:rsid w:val="00EC5359"/>
    <w:rsid w:val="00EC562A"/>
    <w:rsid w:val="00ED067A"/>
    <w:rsid w:val="00ED2B50"/>
    <w:rsid w:val="00ED7C4B"/>
    <w:rsid w:val="00EE0350"/>
    <w:rsid w:val="00EE0719"/>
    <w:rsid w:val="00EE0DD8"/>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E88"/>
    <w:rsid w:val="00F32780"/>
    <w:rsid w:val="00F33817"/>
    <w:rsid w:val="00F417E2"/>
    <w:rsid w:val="00F420D5"/>
    <w:rsid w:val="00F43709"/>
    <w:rsid w:val="00F451EA"/>
    <w:rsid w:val="00F45447"/>
    <w:rsid w:val="00F456C6"/>
    <w:rsid w:val="00F4577B"/>
    <w:rsid w:val="00F46496"/>
    <w:rsid w:val="00F46516"/>
    <w:rsid w:val="00F474D0"/>
    <w:rsid w:val="00F50179"/>
    <w:rsid w:val="00F515EE"/>
    <w:rsid w:val="00F56511"/>
    <w:rsid w:val="00F6194E"/>
    <w:rsid w:val="00F622F8"/>
    <w:rsid w:val="00F623AC"/>
    <w:rsid w:val="00F6412A"/>
    <w:rsid w:val="00F65893"/>
    <w:rsid w:val="00F66A4A"/>
    <w:rsid w:val="00F71E22"/>
    <w:rsid w:val="00F72142"/>
    <w:rsid w:val="00F72AE7"/>
    <w:rsid w:val="00F833BA"/>
    <w:rsid w:val="00F84C52"/>
    <w:rsid w:val="00F84FD0"/>
    <w:rsid w:val="00F856D8"/>
    <w:rsid w:val="00F859A8"/>
    <w:rsid w:val="00F86D87"/>
    <w:rsid w:val="00F9108B"/>
    <w:rsid w:val="00F91349"/>
    <w:rsid w:val="00F93A8A"/>
    <w:rsid w:val="00F95248"/>
    <w:rsid w:val="00F956A9"/>
    <w:rsid w:val="00F963ED"/>
    <w:rsid w:val="00F966CF"/>
    <w:rsid w:val="00F96CAE"/>
    <w:rsid w:val="00F97C99"/>
    <w:rsid w:val="00FA62FB"/>
    <w:rsid w:val="00FA662D"/>
    <w:rsid w:val="00FA73B1"/>
    <w:rsid w:val="00FB0CB9"/>
    <w:rsid w:val="00FB231D"/>
    <w:rsid w:val="00FB45F1"/>
    <w:rsid w:val="00FB4A72"/>
    <w:rsid w:val="00FB54E8"/>
    <w:rsid w:val="00FB65BD"/>
    <w:rsid w:val="00FB7054"/>
    <w:rsid w:val="00FB7DD8"/>
    <w:rsid w:val="00FC17B7"/>
    <w:rsid w:val="00FC2CB7"/>
    <w:rsid w:val="00FC4090"/>
    <w:rsid w:val="00FC55B4"/>
    <w:rsid w:val="00FD00E6"/>
    <w:rsid w:val="00FD09A1"/>
    <w:rsid w:val="00FD2A7C"/>
    <w:rsid w:val="00FD59EB"/>
    <w:rsid w:val="00FD5FA0"/>
    <w:rsid w:val="00FD7299"/>
    <w:rsid w:val="00FE1FBE"/>
    <w:rsid w:val="00FE3901"/>
    <w:rsid w:val="00FE39D3"/>
    <w:rsid w:val="00FE3E3A"/>
    <w:rsid w:val="00FE4BCE"/>
    <w:rsid w:val="00FE54AE"/>
    <w:rsid w:val="00FE576A"/>
    <w:rsid w:val="00FE7E79"/>
    <w:rsid w:val="00FF3E7D"/>
    <w:rsid w:val="00FF5B99"/>
    <w:rsid w:val="00FF730C"/>
    <w:rsid w:val="00FF73F4"/>
    <w:rsid w:val="00FF7CE4"/>
    <w:rsid w:val="00FF7E39"/>
    <w:rsid w:val="016A2895"/>
    <w:rsid w:val="08F16552"/>
    <w:rsid w:val="092948D3"/>
    <w:rsid w:val="12C90CDD"/>
    <w:rsid w:val="180521D8"/>
    <w:rsid w:val="1D2B4636"/>
    <w:rsid w:val="22B46BAD"/>
    <w:rsid w:val="24081B0B"/>
    <w:rsid w:val="24E92309"/>
    <w:rsid w:val="26064111"/>
    <w:rsid w:val="292444FA"/>
    <w:rsid w:val="2A9B3A87"/>
    <w:rsid w:val="2BA971CF"/>
    <w:rsid w:val="2C5825D1"/>
    <w:rsid w:val="3049166A"/>
    <w:rsid w:val="33D259C6"/>
    <w:rsid w:val="38C027B0"/>
    <w:rsid w:val="3BA355E6"/>
    <w:rsid w:val="40380F6A"/>
    <w:rsid w:val="42BB4100"/>
    <w:rsid w:val="439416B6"/>
    <w:rsid w:val="47804DDD"/>
    <w:rsid w:val="4A602CC9"/>
    <w:rsid w:val="4BD63FAB"/>
    <w:rsid w:val="4CAD24F1"/>
    <w:rsid w:val="52EE369A"/>
    <w:rsid w:val="5559450E"/>
    <w:rsid w:val="5B547921"/>
    <w:rsid w:val="60D1048C"/>
    <w:rsid w:val="67B46B65"/>
    <w:rsid w:val="6A694D9B"/>
    <w:rsid w:val="6ABA1160"/>
    <w:rsid w:val="6B045CA7"/>
    <w:rsid w:val="6E533D98"/>
    <w:rsid w:val="72F24B59"/>
    <w:rsid w:val="75537D3E"/>
    <w:rsid w:val="77297A23"/>
    <w:rsid w:val="7754164F"/>
    <w:rsid w:val="7D80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4319CC"/>
  <w15:docId w15:val="{CB234F4A-037D-4B6A-85E9-EB3F90B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link w:val="Char0"/>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12">
    <w:name w:val="正文1"/>
    <w:qFormat/>
    <w:pPr>
      <w:jc w:val="both"/>
    </w:pPr>
    <w:rPr>
      <w:rFonts w:ascii="Times New Roman" w:hAnsi="Times New Roman"/>
      <w:kern w:val="2"/>
      <w:sz w:val="21"/>
      <w:szCs w:val="21"/>
    </w:rPr>
  </w:style>
  <w:style w:type="character" w:customStyle="1" w:styleId="Char0">
    <w:name w:val="标准文件_参考文献标题 Char"/>
    <w:link w:val="afffffc"/>
    <w:qFormat/>
    <w:rPr>
      <w:rFonts w:ascii="黑体" w:eastAsia="黑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13305">
      <w:bodyDiv w:val="1"/>
      <w:marLeft w:val="0"/>
      <w:marRight w:val="0"/>
      <w:marTop w:val="0"/>
      <w:marBottom w:val="0"/>
      <w:divBdr>
        <w:top w:val="none" w:sz="0" w:space="0" w:color="auto"/>
        <w:left w:val="none" w:sz="0" w:space="0" w:color="auto"/>
        <w:bottom w:val="none" w:sz="0" w:space="0" w:color="auto"/>
        <w:right w:val="none" w:sz="0" w:space="0" w:color="auto"/>
      </w:divBdr>
    </w:div>
    <w:div w:id="1823620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F8957E4755458CA6044EE5756B9635"/>
        <w:category>
          <w:name w:val="常规"/>
          <w:gallery w:val="placeholder"/>
        </w:category>
        <w:types>
          <w:type w:val="bbPlcHdr"/>
        </w:types>
        <w:behaviors>
          <w:behavior w:val="content"/>
        </w:behaviors>
        <w:guid w:val="{F60E8614-DFAF-4057-ADBA-F13499AA77B0}"/>
      </w:docPartPr>
      <w:docPartBody>
        <w:p w:rsidR="00FD3B69" w:rsidRDefault="00000000">
          <w:pPr>
            <w:pStyle w:val="88F8957E4755458CA6044EE5756B9635"/>
            <w:rPr>
              <w:rFonts w:hint="eastAsia"/>
            </w:rPr>
          </w:pPr>
          <w:r>
            <w:rPr>
              <w:rStyle w:val="a3"/>
              <w:rFonts w:hint="eastAsia"/>
            </w:rPr>
            <w:t>单击或点击此处输入文字。</w:t>
          </w:r>
        </w:p>
      </w:docPartBody>
    </w:docPart>
    <w:docPart>
      <w:docPartPr>
        <w:name w:val="DE578C7FD5CE4318914D59BF1C7AAF75"/>
        <w:category>
          <w:name w:val="常规"/>
          <w:gallery w:val="placeholder"/>
        </w:category>
        <w:types>
          <w:type w:val="bbPlcHdr"/>
        </w:types>
        <w:behaviors>
          <w:behavior w:val="content"/>
        </w:behaviors>
        <w:guid w:val="{BD8A9F00-3708-42D6-BB07-C4A0C5A0D4F0}"/>
      </w:docPartPr>
      <w:docPartBody>
        <w:p w:rsidR="00FD3B69" w:rsidRDefault="00000000">
          <w:pPr>
            <w:pStyle w:val="DE578C7FD5CE4318914D59BF1C7AAF75"/>
            <w:rPr>
              <w:rFonts w:hint="eastAsia"/>
            </w:rPr>
          </w:pPr>
          <w:r>
            <w:rPr>
              <w:rStyle w:val="a3"/>
              <w:rFonts w:hint="eastAsia"/>
            </w:rPr>
            <w:t>选择一项。</w:t>
          </w:r>
        </w:p>
      </w:docPartBody>
    </w:docPart>
    <w:docPart>
      <w:docPartPr>
        <w:name w:val="EEFBDBE933444D098940485EE7544E55"/>
        <w:category>
          <w:name w:val="常规"/>
          <w:gallery w:val="placeholder"/>
        </w:category>
        <w:types>
          <w:type w:val="bbPlcHdr"/>
        </w:types>
        <w:behaviors>
          <w:behavior w:val="content"/>
        </w:behaviors>
        <w:guid w:val="{C94C3297-337A-45E3-9E03-7FD04B62FEF5}"/>
      </w:docPartPr>
      <w:docPartBody>
        <w:p w:rsidR="00FD3B69" w:rsidRDefault="00000000">
          <w:pPr>
            <w:pStyle w:val="EEFBDBE933444D098940485EE7544E55"/>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3054" w:rsidRDefault="00163054">
      <w:pPr>
        <w:spacing w:line="240" w:lineRule="auto"/>
        <w:rPr>
          <w:rFonts w:hint="eastAsia"/>
        </w:rPr>
      </w:pPr>
      <w:r>
        <w:separator/>
      </w:r>
    </w:p>
  </w:endnote>
  <w:endnote w:type="continuationSeparator" w:id="0">
    <w:p w:rsidR="00163054" w:rsidRDefault="00163054">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3054" w:rsidRDefault="00163054">
      <w:pPr>
        <w:spacing w:after="0"/>
        <w:rPr>
          <w:rFonts w:hint="eastAsia"/>
        </w:rPr>
      </w:pPr>
      <w:r>
        <w:separator/>
      </w:r>
    </w:p>
  </w:footnote>
  <w:footnote w:type="continuationSeparator" w:id="0">
    <w:p w:rsidR="00163054" w:rsidRDefault="00163054">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EE"/>
    <w:rsid w:val="000247A6"/>
    <w:rsid w:val="000A255B"/>
    <w:rsid w:val="000E1466"/>
    <w:rsid w:val="00163054"/>
    <w:rsid w:val="001B1E60"/>
    <w:rsid w:val="0020411E"/>
    <w:rsid w:val="00277AEE"/>
    <w:rsid w:val="002A0CDE"/>
    <w:rsid w:val="002E1E8E"/>
    <w:rsid w:val="003768B8"/>
    <w:rsid w:val="003E013B"/>
    <w:rsid w:val="00495457"/>
    <w:rsid w:val="004B7681"/>
    <w:rsid w:val="004D7FA0"/>
    <w:rsid w:val="0054781F"/>
    <w:rsid w:val="005D04AC"/>
    <w:rsid w:val="00615EAE"/>
    <w:rsid w:val="00622331"/>
    <w:rsid w:val="0067500B"/>
    <w:rsid w:val="006C616F"/>
    <w:rsid w:val="00700211"/>
    <w:rsid w:val="0074738E"/>
    <w:rsid w:val="00867C0B"/>
    <w:rsid w:val="0093237E"/>
    <w:rsid w:val="009425B7"/>
    <w:rsid w:val="009F5ACC"/>
    <w:rsid w:val="00A61D69"/>
    <w:rsid w:val="00A765DE"/>
    <w:rsid w:val="00AB4152"/>
    <w:rsid w:val="00AC73A3"/>
    <w:rsid w:val="00AF76A8"/>
    <w:rsid w:val="00B00EB0"/>
    <w:rsid w:val="00B422DA"/>
    <w:rsid w:val="00BF33C1"/>
    <w:rsid w:val="00C22BE3"/>
    <w:rsid w:val="00C318E8"/>
    <w:rsid w:val="00CE28BC"/>
    <w:rsid w:val="00D172AD"/>
    <w:rsid w:val="00D43FAF"/>
    <w:rsid w:val="00D50F99"/>
    <w:rsid w:val="00D760B9"/>
    <w:rsid w:val="00D85D05"/>
    <w:rsid w:val="00D86050"/>
    <w:rsid w:val="00D95C7C"/>
    <w:rsid w:val="00DA26FF"/>
    <w:rsid w:val="00DA3F0A"/>
    <w:rsid w:val="00E120CD"/>
    <w:rsid w:val="00E528DD"/>
    <w:rsid w:val="00ED7C4B"/>
    <w:rsid w:val="00F019F8"/>
    <w:rsid w:val="00F31E88"/>
    <w:rsid w:val="00FD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8F8957E4755458CA6044EE5756B9635">
    <w:name w:val="88F8957E4755458CA6044EE5756B9635"/>
    <w:qFormat/>
    <w:pPr>
      <w:widowControl w:val="0"/>
      <w:spacing w:after="160" w:line="278" w:lineRule="auto"/>
    </w:pPr>
    <w:rPr>
      <w:kern w:val="2"/>
      <w:sz w:val="22"/>
      <w:szCs w:val="24"/>
      <w14:ligatures w14:val="standardContextual"/>
    </w:rPr>
  </w:style>
  <w:style w:type="paragraph" w:customStyle="1" w:styleId="DE578C7FD5CE4318914D59BF1C7AAF75">
    <w:name w:val="DE578C7FD5CE4318914D59BF1C7AAF75"/>
    <w:qFormat/>
    <w:pPr>
      <w:widowControl w:val="0"/>
      <w:spacing w:after="160" w:line="278" w:lineRule="auto"/>
    </w:pPr>
    <w:rPr>
      <w:kern w:val="2"/>
      <w:sz w:val="22"/>
      <w:szCs w:val="24"/>
      <w14:ligatures w14:val="standardContextual"/>
    </w:rPr>
  </w:style>
  <w:style w:type="paragraph" w:customStyle="1" w:styleId="EEFBDBE933444D098940485EE7544E55">
    <w:name w:val="EEFBDBE933444D098940485EE7544E55"/>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TotalTime>
  <Pages>9</Pages>
  <Words>811</Words>
  <Characters>4627</Characters>
  <Application>Microsoft Office Word</Application>
  <DocSecurity>0</DocSecurity>
  <Lines>38</Lines>
  <Paragraphs>10</Paragraphs>
  <ScaleCrop>false</ScaleCrop>
  <Company>PCMI</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EDY</dc:creator>
  <dc:description>&lt;config cover="true" show_menu="true" version="1.0.0" doctype="SDKXY"&gt;_x000d_
&lt;/config&gt;</dc:description>
  <cp:lastModifiedBy>Office</cp:lastModifiedBy>
  <cp:revision>118</cp:revision>
  <cp:lastPrinted>2021-02-02T08:22:00Z</cp:lastPrinted>
  <dcterms:created xsi:type="dcterms:W3CDTF">2024-12-19T02:22:00Z</dcterms:created>
  <dcterms:modified xsi:type="dcterms:W3CDTF">2025-04-17T09:23:00Z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eyJoZGlkIjoiZDUzZDZiNTg0NzQ1M2UzNGU2ZGJkMmFkNjA5NjFjOWIifQ==</vt:lpwstr>
  </property>
  <property fmtid="{D5CDD505-2E9C-101B-9397-08002B2CF9AE}" pid="15" name="KSOProductBuildVer">
    <vt:lpwstr>2052-12.1.0.20784</vt:lpwstr>
  </property>
  <property fmtid="{D5CDD505-2E9C-101B-9397-08002B2CF9AE}" pid="16" name="ICV">
    <vt:lpwstr>5F08D1FF77FD4295844BDDA49FC0A209_12</vt:lpwstr>
  </property>
</Properties>
</file>